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8F965" w14:textId="77777777" w:rsidR="006463FB" w:rsidRDefault="006463FB" w:rsidP="00663296">
      <w:pPr>
        <w:pStyle w:val="Footer"/>
        <w:jc w:val="both"/>
        <w:rPr>
          <w:rFonts w:ascii="Arial Narrow" w:hAnsi="Arial Narrow"/>
          <w:sz w:val="20"/>
          <w:szCs w:val="20"/>
        </w:rPr>
      </w:pPr>
    </w:p>
    <w:p w14:paraId="4D60F7BB" w14:textId="77777777" w:rsidR="00DD2794" w:rsidRPr="00B02899" w:rsidRDefault="00DD2794" w:rsidP="00663296">
      <w:pPr>
        <w:pStyle w:val="Footer"/>
        <w:jc w:val="both"/>
        <w:rPr>
          <w:rFonts w:ascii="Arial Narrow" w:hAnsi="Arial Narrow"/>
          <w:sz w:val="20"/>
          <w:szCs w:val="20"/>
        </w:rPr>
      </w:pPr>
    </w:p>
    <w:tbl>
      <w:tblPr>
        <w:tblW w:w="107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5"/>
        <w:gridCol w:w="6840"/>
        <w:gridCol w:w="1710"/>
        <w:gridCol w:w="1416"/>
      </w:tblGrid>
      <w:tr w:rsidR="00BF6E9D" w:rsidRPr="009D7DFC" w14:paraId="04B8F96A" w14:textId="77777777" w:rsidTr="00171F4A">
        <w:trPr>
          <w:cantSplit/>
          <w:trHeight w:val="863"/>
          <w:tblHeader/>
          <w:jc w:val="center"/>
        </w:trPr>
        <w:tc>
          <w:tcPr>
            <w:tcW w:w="10771" w:type="dxa"/>
            <w:gridSpan w:val="4"/>
            <w:tcBorders>
              <w:top w:val="single" w:sz="4" w:space="0" w:color="auto"/>
            </w:tcBorders>
            <w:shd w:val="clear" w:color="auto" w:fill="8DB3E2" w:themeFill="text2" w:themeFillTint="66"/>
            <w:noWrap/>
          </w:tcPr>
          <w:p w14:paraId="245E5A54" w14:textId="57E6AEC0" w:rsidR="00BF6E9D" w:rsidRPr="009D7DFC" w:rsidRDefault="00196C40" w:rsidP="009D7DFC">
            <w:pPr>
              <w:spacing w:after="0"/>
              <w:jc w:val="center"/>
              <w:rPr>
                <w:rFonts w:ascii="Arial Narrow" w:hAnsi="Arial Narrow" w:cstheme="minorHAnsi"/>
                <w:b/>
                <w:sz w:val="24"/>
              </w:rPr>
            </w:pPr>
            <w:r>
              <w:rPr>
                <w:rFonts w:ascii="Arial Narrow" w:hAnsi="Arial Narrow" w:cstheme="minorHAnsi"/>
                <w:b/>
                <w:sz w:val="24"/>
              </w:rPr>
              <w:t>Pelvic</w:t>
            </w:r>
            <w:r w:rsidR="00BF6E9D" w:rsidRPr="009D7DFC">
              <w:rPr>
                <w:rFonts w:ascii="Arial Narrow" w:hAnsi="Arial Narrow" w:cstheme="minorHAnsi"/>
                <w:b/>
                <w:sz w:val="24"/>
              </w:rPr>
              <w:t xml:space="preserve"> Exam Checklist</w:t>
            </w:r>
          </w:p>
          <w:p w14:paraId="2F00B66D" w14:textId="417AF038" w:rsidR="00BF6E9D" w:rsidRPr="009D7DFC" w:rsidRDefault="00BF6E9D" w:rsidP="009D7DFC">
            <w:pPr>
              <w:pStyle w:val="Header"/>
              <w:ind w:left="7"/>
              <w:rPr>
                <w:rFonts w:ascii="Arial Narrow" w:hAnsi="Arial Narrow" w:cs="Arial"/>
              </w:rPr>
            </w:pPr>
            <w:r w:rsidRPr="009D7DFC">
              <w:rPr>
                <w:rFonts w:ascii="Arial Narrow" w:hAnsi="Arial Narrow" w:cs="Arial"/>
              </w:rPr>
              <w:t>PTID: ___ ___ ___ - ___ ___ ___ ___ ___ - ___                                                        Date: ___ ___ -___ ___ ___-___ ___</w:t>
            </w:r>
          </w:p>
          <w:p w14:paraId="5FF133DF" w14:textId="5D06AA99" w:rsidR="00BF6E9D" w:rsidRPr="009D7DFC" w:rsidRDefault="00BF6E9D" w:rsidP="009D7DFC">
            <w:pPr>
              <w:spacing w:after="0" w:line="240" w:lineRule="auto"/>
              <w:rPr>
                <w:rFonts w:ascii="Arial Narrow" w:hAnsi="Arial Narrow"/>
                <w:b/>
              </w:rPr>
            </w:pPr>
            <w:r w:rsidRPr="009D7DFC">
              <w:rPr>
                <w:rFonts w:ascii="Arial Narrow" w:hAnsi="Arial Narrow" w:cs="Arial"/>
              </w:rPr>
              <w:t>Visit Type:                                                                                                                    Visit Code: ___ ___ . ____</w:t>
            </w:r>
          </w:p>
        </w:tc>
      </w:tr>
      <w:tr w:rsidR="00BF6E9D" w:rsidRPr="009D7DFC" w14:paraId="04B8F96F" w14:textId="77777777" w:rsidTr="00171F4A">
        <w:trPr>
          <w:cantSplit/>
          <w:trHeight w:val="300"/>
          <w:tblHeader/>
          <w:jc w:val="center"/>
        </w:trPr>
        <w:tc>
          <w:tcPr>
            <w:tcW w:w="7645" w:type="dxa"/>
            <w:gridSpan w:val="2"/>
            <w:tcBorders>
              <w:top w:val="single" w:sz="4" w:space="0" w:color="auto"/>
            </w:tcBorders>
            <w:noWrap/>
          </w:tcPr>
          <w:p w14:paraId="04B8F96B" w14:textId="6472CB5C" w:rsidR="00BF6E9D" w:rsidRPr="009D7DFC" w:rsidRDefault="00BF6E9D" w:rsidP="009D7DFC">
            <w:pPr>
              <w:spacing w:after="0" w:line="240" w:lineRule="auto"/>
              <w:rPr>
                <w:rFonts w:ascii="Arial Narrow" w:hAnsi="Arial Narrow" w:cs="Calibri"/>
                <w:b/>
                <w:color w:val="000000"/>
              </w:rPr>
            </w:pPr>
            <w:r w:rsidRPr="0024517B">
              <w:rPr>
                <w:rFonts w:ascii="Arial Narrow,Calibri" w:eastAsia="Arial Narrow,Calibri" w:hAnsi="Arial Narrow,Calibri" w:cs="Arial Narrow,Calibri"/>
                <w:b/>
                <w:color w:val="000000"/>
              </w:rPr>
              <w:t>Procedures</w:t>
            </w:r>
          </w:p>
        </w:tc>
        <w:tc>
          <w:tcPr>
            <w:tcW w:w="1710" w:type="dxa"/>
            <w:tcBorders>
              <w:top w:val="single" w:sz="4" w:space="0" w:color="auto"/>
            </w:tcBorders>
          </w:tcPr>
          <w:p w14:paraId="04B8F96C" w14:textId="77777777" w:rsidR="00BF6E9D" w:rsidRPr="009D7DFC" w:rsidRDefault="00BF6E9D" w:rsidP="009D7DFC">
            <w:pPr>
              <w:spacing w:after="0" w:line="240" w:lineRule="auto"/>
              <w:jc w:val="center"/>
              <w:rPr>
                <w:rFonts w:ascii="Arial Narrow" w:hAnsi="Arial Narrow" w:cs="Calibri"/>
                <w:b/>
                <w:color w:val="000000"/>
              </w:rPr>
            </w:pPr>
            <w:r w:rsidRPr="009D7DFC">
              <w:rPr>
                <w:rFonts w:ascii="Arial Narrow" w:hAnsi="Arial Narrow" w:cs="Calibri"/>
                <w:b/>
                <w:color w:val="000000"/>
              </w:rPr>
              <w:t>Required at:</w:t>
            </w:r>
          </w:p>
        </w:tc>
        <w:tc>
          <w:tcPr>
            <w:tcW w:w="1416" w:type="dxa"/>
            <w:tcBorders>
              <w:top w:val="single" w:sz="4" w:space="0" w:color="auto"/>
            </w:tcBorders>
          </w:tcPr>
          <w:p w14:paraId="04B8F96D" w14:textId="3CF18644" w:rsidR="00BF6E9D" w:rsidRPr="009D7DFC" w:rsidRDefault="00BF6E9D" w:rsidP="009D7DFC">
            <w:pPr>
              <w:spacing w:after="0" w:line="240" w:lineRule="auto"/>
              <w:jc w:val="center"/>
              <w:rPr>
                <w:rFonts w:ascii="Arial Narrow" w:hAnsi="Arial Narrow" w:cs="Calibri"/>
                <w:b/>
                <w:color w:val="000000"/>
              </w:rPr>
            </w:pPr>
            <w:r w:rsidRPr="009D7DFC">
              <w:rPr>
                <w:rFonts w:ascii="Arial Narrow" w:hAnsi="Arial Narrow" w:cs="Calibri"/>
                <w:b/>
                <w:color w:val="000000"/>
              </w:rPr>
              <w:t>Staff Initials</w:t>
            </w:r>
          </w:p>
        </w:tc>
      </w:tr>
      <w:tr w:rsidR="00BF6E9D" w:rsidRPr="009D7DFC" w14:paraId="04B8F97B" w14:textId="77777777" w:rsidTr="00171F4A">
        <w:trPr>
          <w:cantSplit/>
          <w:trHeight w:val="615"/>
          <w:jc w:val="center"/>
        </w:trPr>
        <w:tc>
          <w:tcPr>
            <w:tcW w:w="805" w:type="dxa"/>
            <w:noWrap/>
          </w:tcPr>
          <w:p w14:paraId="04B8F976" w14:textId="399A7C13" w:rsidR="00BF6E9D" w:rsidRPr="009D7DFC" w:rsidRDefault="00BB1F69" w:rsidP="009D7DFC">
            <w:pPr>
              <w:spacing w:after="0" w:line="240" w:lineRule="auto"/>
              <w:rPr>
                <w:rFonts w:ascii="Arial Narrow" w:hAnsi="Arial Narrow" w:cs="Calibri"/>
                <w:color w:val="000000"/>
              </w:rPr>
            </w:pPr>
            <w:r>
              <w:rPr>
                <w:rFonts w:ascii="Arial Narrow" w:hAnsi="Arial Narrow" w:cs="Calibri"/>
                <w:color w:val="000000"/>
              </w:rPr>
              <w:t>1</w:t>
            </w:r>
            <w:bookmarkStart w:id="0" w:name="_GoBack"/>
            <w:bookmarkEnd w:id="0"/>
          </w:p>
        </w:tc>
        <w:tc>
          <w:tcPr>
            <w:tcW w:w="6840" w:type="dxa"/>
          </w:tcPr>
          <w:p w14:paraId="04B8F977" w14:textId="77777777" w:rsidR="00BF6E9D" w:rsidRPr="009D7DFC" w:rsidRDefault="00BF6E9D" w:rsidP="009D7DFC">
            <w:pPr>
              <w:spacing w:after="0"/>
              <w:rPr>
                <w:rFonts w:ascii="Arial Narrow" w:hAnsi="Arial Narrow"/>
              </w:rPr>
            </w:pPr>
            <w:r w:rsidRPr="009D7DFC">
              <w:rPr>
                <w:rFonts w:ascii="Arial Narrow" w:hAnsi="Arial Narrow"/>
              </w:rPr>
              <w:t>Prepare exam equipment and specimen collection supplies; label as needed.</w:t>
            </w:r>
          </w:p>
        </w:tc>
        <w:tc>
          <w:tcPr>
            <w:tcW w:w="1710" w:type="dxa"/>
          </w:tcPr>
          <w:p w14:paraId="04B8F978" w14:textId="31E070D2" w:rsidR="00BF6E9D" w:rsidRPr="009D7DFC" w:rsidRDefault="00BF6E9D" w:rsidP="009D7DFC">
            <w:pPr>
              <w:spacing w:after="0"/>
              <w:jc w:val="center"/>
              <w:rPr>
                <w:rFonts w:ascii="Arial Narrow" w:hAnsi="Arial Narrow"/>
                <w:b/>
                <w:bCs/>
              </w:rPr>
            </w:pPr>
            <w:r>
              <w:rPr>
                <w:rFonts w:ascii="Arial Narrow" w:hAnsi="Arial Narrow"/>
                <w:b/>
                <w:bCs/>
              </w:rPr>
              <w:t>All</w:t>
            </w:r>
          </w:p>
        </w:tc>
        <w:tc>
          <w:tcPr>
            <w:tcW w:w="1416" w:type="dxa"/>
          </w:tcPr>
          <w:p w14:paraId="04B8F979" w14:textId="70E210F9" w:rsidR="00BF6E9D" w:rsidRPr="009D7DFC" w:rsidRDefault="00BF6E9D" w:rsidP="009D7DFC">
            <w:pPr>
              <w:spacing w:after="0" w:line="240" w:lineRule="auto"/>
              <w:rPr>
                <w:rFonts w:ascii="Arial Narrow" w:hAnsi="Arial Narrow" w:cs="Calibri"/>
                <w:color w:val="000000"/>
              </w:rPr>
            </w:pPr>
          </w:p>
        </w:tc>
      </w:tr>
      <w:tr w:rsidR="00C06496" w:rsidRPr="009D7DFC" w14:paraId="6C00267B" w14:textId="77777777" w:rsidTr="00171F4A">
        <w:trPr>
          <w:cantSplit/>
          <w:trHeight w:val="426"/>
          <w:jc w:val="center"/>
        </w:trPr>
        <w:tc>
          <w:tcPr>
            <w:tcW w:w="805" w:type="dxa"/>
            <w:noWrap/>
          </w:tcPr>
          <w:p w14:paraId="16059022" w14:textId="7055C833" w:rsidR="00C06496" w:rsidRDefault="00BB1F69" w:rsidP="00C06496">
            <w:pPr>
              <w:spacing w:after="0" w:line="240" w:lineRule="auto"/>
              <w:rPr>
                <w:rFonts w:ascii="Arial Narrow" w:hAnsi="Arial Narrow" w:cs="Calibri"/>
                <w:color w:val="000000"/>
              </w:rPr>
            </w:pPr>
            <w:r>
              <w:rPr>
                <w:rFonts w:ascii="Arial Narrow" w:hAnsi="Arial Narrow" w:cs="Calibri"/>
                <w:color w:val="000000"/>
              </w:rPr>
              <w:t>2</w:t>
            </w:r>
          </w:p>
        </w:tc>
        <w:tc>
          <w:tcPr>
            <w:tcW w:w="6840" w:type="dxa"/>
          </w:tcPr>
          <w:p w14:paraId="6E771BD3" w14:textId="04740F3D" w:rsidR="00C06496" w:rsidRPr="009D7DFC" w:rsidRDefault="00C06496" w:rsidP="00F81C5F">
            <w:pPr>
              <w:spacing w:after="0"/>
              <w:rPr>
                <w:rFonts w:ascii="Arial Narrow" w:hAnsi="Arial Narrow"/>
              </w:rPr>
            </w:pPr>
            <w:r w:rsidRPr="00196C40">
              <w:rPr>
                <w:rFonts w:ascii="Arial Narrow" w:hAnsi="Arial Narrow"/>
              </w:rPr>
              <w:t>If Day 28, have participant (or study clinician/designee, if needed) remove vaginal ring. P</w:t>
            </w:r>
            <w:r w:rsidR="007F1199">
              <w:rPr>
                <w:rFonts w:ascii="Arial Narrow" w:hAnsi="Arial Narrow"/>
              </w:rPr>
              <w:t>l</w:t>
            </w:r>
            <w:r w:rsidRPr="00196C40">
              <w:rPr>
                <w:rFonts w:ascii="Arial Narrow" w:hAnsi="Arial Narrow"/>
              </w:rPr>
              <w:t xml:space="preserve">ace in sterile container until end of examination or prepare for residual drug analysis (see Section </w:t>
            </w:r>
            <w:r w:rsidR="00F81C5F">
              <w:rPr>
                <w:rFonts w:ascii="Arial Narrow" w:hAnsi="Arial Narrow"/>
              </w:rPr>
              <w:t>9</w:t>
            </w:r>
            <w:r w:rsidR="00F81C5F" w:rsidRPr="00196C40">
              <w:rPr>
                <w:rFonts w:ascii="Arial Narrow" w:hAnsi="Arial Narrow"/>
              </w:rPr>
              <w:t xml:space="preserve"> </w:t>
            </w:r>
            <w:r w:rsidRPr="00196C40">
              <w:rPr>
                <w:rFonts w:ascii="Arial Narrow" w:hAnsi="Arial Narrow"/>
              </w:rPr>
              <w:t>Laboratory Considerations).  Note ring remains inserted for all exams between enrollment and day 28.</w:t>
            </w:r>
          </w:p>
        </w:tc>
        <w:tc>
          <w:tcPr>
            <w:tcW w:w="1710" w:type="dxa"/>
          </w:tcPr>
          <w:p w14:paraId="6A7365AF" w14:textId="709E9F48" w:rsidR="00C06496" w:rsidRPr="00196C40" w:rsidRDefault="00C06496" w:rsidP="00C06496">
            <w:pPr>
              <w:spacing w:after="0"/>
              <w:jc w:val="center"/>
              <w:rPr>
                <w:rFonts w:ascii="Arial Narrow" w:hAnsi="Arial Narrow"/>
                <w:b/>
                <w:bCs/>
              </w:rPr>
            </w:pPr>
            <w:r w:rsidRPr="00196C40">
              <w:rPr>
                <w:rFonts w:ascii="Arial Narrow" w:hAnsi="Arial Narrow" w:cs="Calibri"/>
                <w:b/>
                <w:color w:val="000000"/>
              </w:rPr>
              <w:t>Day 28</w:t>
            </w:r>
          </w:p>
        </w:tc>
        <w:tc>
          <w:tcPr>
            <w:tcW w:w="1416" w:type="dxa"/>
          </w:tcPr>
          <w:p w14:paraId="6810EA7A" w14:textId="21B9459D" w:rsidR="00C06496" w:rsidRDefault="00C06496" w:rsidP="00C06496">
            <w:pPr>
              <w:spacing w:after="0" w:line="240" w:lineRule="auto"/>
              <w:rPr>
                <w:rFonts w:ascii="Arial Narrow" w:hAnsi="Arial Narrow" w:cs="Calibri"/>
                <w:color w:val="000000"/>
              </w:rPr>
            </w:pPr>
          </w:p>
        </w:tc>
      </w:tr>
      <w:tr w:rsidR="00C06496" w:rsidRPr="009D7DFC" w14:paraId="04B8F98D" w14:textId="77777777" w:rsidTr="00171F4A">
        <w:trPr>
          <w:cantSplit/>
          <w:trHeight w:val="426"/>
          <w:jc w:val="center"/>
        </w:trPr>
        <w:tc>
          <w:tcPr>
            <w:tcW w:w="805" w:type="dxa"/>
            <w:noWrap/>
          </w:tcPr>
          <w:p w14:paraId="04B8F988" w14:textId="2EBBB79A"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3</w:t>
            </w:r>
          </w:p>
        </w:tc>
        <w:tc>
          <w:tcPr>
            <w:tcW w:w="6840" w:type="dxa"/>
          </w:tcPr>
          <w:p w14:paraId="04B8F989" w14:textId="77777777" w:rsidR="00C06496" w:rsidRPr="009D7DFC" w:rsidRDefault="00C06496" w:rsidP="00C06496">
            <w:pPr>
              <w:spacing w:after="0"/>
              <w:rPr>
                <w:rFonts w:ascii="Arial Narrow" w:hAnsi="Arial Narrow"/>
              </w:rPr>
            </w:pPr>
            <w:r w:rsidRPr="009D7DFC">
              <w:rPr>
                <w:rFonts w:ascii="Arial Narrow" w:hAnsi="Arial Narrow"/>
              </w:rPr>
              <w:t>Palpate inguinal lymph nodes; identify all normal and abnormal findings.</w:t>
            </w:r>
          </w:p>
        </w:tc>
        <w:tc>
          <w:tcPr>
            <w:tcW w:w="1710" w:type="dxa"/>
          </w:tcPr>
          <w:p w14:paraId="04B8F98A" w14:textId="2E99B98F" w:rsidR="00C06496" w:rsidRPr="009D7DFC" w:rsidRDefault="00C06496" w:rsidP="00C06496">
            <w:pPr>
              <w:spacing w:after="0"/>
              <w:jc w:val="center"/>
              <w:rPr>
                <w:rFonts w:ascii="Arial Narrow" w:hAnsi="Arial Narrow"/>
                <w:b/>
                <w:bCs/>
              </w:rPr>
            </w:pPr>
            <w:r>
              <w:rPr>
                <w:rFonts w:ascii="Arial Narrow" w:hAnsi="Arial Narrow"/>
                <w:b/>
                <w:bCs/>
              </w:rPr>
              <w:t>All</w:t>
            </w:r>
          </w:p>
        </w:tc>
        <w:tc>
          <w:tcPr>
            <w:tcW w:w="1416" w:type="dxa"/>
          </w:tcPr>
          <w:p w14:paraId="04B8F98B" w14:textId="65B7A2A7" w:rsidR="00C06496" w:rsidRPr="009D7DFC" w:rsidRDefault="00C06496" w:rsidP="00C06496">
            <w:pPr>
              <w:spacing w:after="0" w:line="240" w:lineRule="auto"/>
              <w:rPr>
                <w:rFonts w:ascii="Arial Narrow" w:hAnsi="Arial Narrow" w:cs="Calibri"/>
                <w:color w:val="000000"/>
              </w:rPr>
            </w:pPr>
          </w:p>
        </w:tc>
      </w:tr>
      <w:tr w:rsidR="00C06496" w:rsidRPr="009D7DFC" w14:paraId="04B8F993" w14:textId="77777777" w:rsidTr="00171F4A">
        <w:trPr>
          <w:cantSplit/>
          <w:trHeight w:val="426"/>
          <w:jc w:val="center"/>
        </w:trPr>
        <w:tc>
          <w:tcPr>
            <w:tcW w:w="805" w:type="dxa"/>
            <w:noWrap/>
          </w:tcPr>
          <w:p w14:paraId="04B8F98E" w14:textId="10D58488"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4</w:t>
            </w:r>
          </w:p>
        </w:tc>
        <w:tc>
          <w:tcPr>
            <w:tcW w:w="6840" w:type="dxa"/>
          </w:tcPr>
          <w:p w14:paraId="04B8F98F" w14:textId="77777777" w:rsidR="00C06496" w:rsidRPr="009D7DFC" w:rsidRDefault="00C06496" w:rsidP="00C06496">
            <w:pPr>
              <w:spacing w:after="0"/>
              <w:rPr>
                <w:rFonts w:ascii="Arial Narrow" w:hAnsi="Arial Narrow"/>
              </w:rPr>
            </w:pPr>
            <w:r w:rsidRPr="009D7DFC">
              <w:rPr>
                <w:rFonts w:ascii="Arial Narrow" w:hAnsi="Arial Narrow"/>
              </w:rPr>
              <w:t xml:space="preserve">Perform naked eye exam of external genitalia, including the perineum, perianal area, and the epithelial lining of the introitus. </w:t>
            </w:r>
          </w:p>
        </w:tc>
        <w:tc>
          <w:tcPr>
            <w:tcW w:w="1710" w:type="dxa"/>
          </w:tcPr>
          <w:p w14:paraId="04B8F990" w14:textId="32AACB5A" w:rsidR="00C06496" w:rsidRPr="009D7DFC" w:rsidRDefault="00C06496" w:rsidP="00C06496">
            <w:pPr>
              <w:spacing w:after="0"/>
              <w:jc w:val="center"/>
              <w:rPr>
                <w:rFonts w:ascii="Arial Narrow" w:hAnsi="Arial Narrow"/>
                <w:b/>
                <w:bCs/>
              </w:rPr>
            </w:pPr>
            <w:r>
              <w:rPr>
                <w:rFonts w:ascii="Arial Narrow" w:hAnsi="Arial Narrow"/>
                <w:b/>
                <w:bCs/>
              </w:rPr>
              <w:t>All</w:t>
            </w:r>
          </w:p>
        </w:tc>
        <w:tc>
          <w:tcPr>
            <w:tcW w:w="1416" w:type="dxa"/>
          </w:tcPr>
          <w:p w14:paraId="04B8F991" w14:textId="51887507" w:rsidR="00C06496" w:rsidRPr="009D7DFC" w:rsidRDefault="00C06496" w:rsidP="00C06496">
            <w:pPr>
              <w:spacing w:after="0" w:line="240" w:lineRule="auto"/>
              <w:rPr>
                <w:rFonts w:ascii="Arial Narrow" w:hAnsi="Arial Narrow" w:cs="Calibri"/>
                <w:color w:val="000000"/>
              </w:rPr>
            </w:pPr>
          </w:p>
        </w:tc>
      </w:tr>
      <w:tr w:rsidR="00C06496" w:rsidRPr="009D7DFC" w14:paraId="04B8F9A5" w14:textId="77777777" w:rsidTr="00171F4A">
        <w:trPr>
          <w:cantSplit/>
          <w:trHeight w:val="426"/>
          <w:jc w:val="center"/>
        </w:trPr>
        <w:tc>
          <w:tcPr>
            <w:tcW w:w="805" w:type="dxa"/>
            <w:noWrap/>
          </w:tcPr>
          <w:p w14:paraId="04B8F9A0" w14:textId="225D537F"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5</w:t>
            </w:r>
          </w:p>
        </w:tc>
        <w:tc>
          <w:tcPr>
            <w:tcW w:w="6840" w:type="dxa"/>
          </w:tcPr>
          <w:p w14:paraId="04B8F9A1" w14:textId="551C4BF3" w:rsidR="00C06496" w:rsidRPr="009D7DFC" w:rsidRDefault="00C06496" w:rsidP="00E1749C">
            <w:pPr>
              <w:spacing w:after="0"/>
              <w:rPr>
                <w:rFonts w:ascii="Arial Narrow" w:hAnsi="Arial Narrow"/>
              </w:rPr>
            </w:pPr>
            <w:r w:rsidRPr="009D7DFC">
              <w:rPr>
                <w:rFonts w:ascii="Arial Narrow" w:hAnsi="Arial Narrow"/>
              </w:rPr>
              <w:t>Insert speculum, using warm water as lubricant if needed.</w:t>
            </w:r>
            <w:r>
              <w:rPr>
                <w:rFonts w:ascii="Arial Narrow" w:hAnsi="Arial Narrow"/>
              </w:rPr>
              <w:t xml:space="preserve"> </w:t>
            </w:r>
            <w:r w:rsidRPr="009D7DFC">
              <w:rPr>
                <w:rFonts w:ascii="Arial Narrow" w:hAnsi="Arial Narrow"/>
              </w:rPr>
              <w:t>Perform naked eye</w:t>
            </w:r>
            <w:r>
              <w:rPr>
                <w:rFonts w:ascii="Arial Narrow" w:hAnsi="Arial Narrow"/>
              </w:rPr>
              <w:t xml:space="preserve"> exam of the cervix and vagina</w:t>
            </w:r>
            <w:r w:rsidRPr="009D7DFC">
              <w:rPr>
                <w:rFonts w:ascii="Arial Narrow" w:hAnsi="Arial Narrow"/>
              </w:rPr>
              <w:t>.</w:t>
            </w:r>
            <w:r w:rsidR="001E3BD6">
              <w:rPr>
                <w:rFonts w:ascii="Arial Narrow" w:hAnsi="Arial Narrow"/>
              </w:rPr>
              <w:t xml:space="preserve">    </w:t>
            </w:r>
          </w:p>
        </w:tc>
        <w:tc>
          <w:tcPr>
            <w:tcW w:w="1710" w:type="dxa"/>
          </w:tcPr>
          <w:p w14:paraId="04B8F9A2" w14:textId="1087D6B3" w:rsidR="00C06496" w:rsidRPr="009D7DFC" w:rsidRDefault="00C06496" w:rsidP="00C06496">
            <w:pPr>
              <w:spacing w:after="0" w:line="240" w:lineRule="auto"/>
              <w:jc w:val="center"/>
              <w:rPr>
                <w:rFonts w:ascii="Arial Narrow" w:hAnsi="Arial Narrow" w:cs="Calibri"/>
                <w:b/>
                <w:bCs/>
                <w:color w:val="000000"/>
              </w:rPr>
            </w:pPr>
            <w:r>
              <w:rPr>
                <w:rFonts w:ascii="Arial Narrow" w:hAnsi="Arial Narrow" w:cs="Calibri"/>
                <w:b/>
                <w:bCs/>
                <w:color w:val="000000"/>
              </w:rPr>
              <w:t>All</w:t>
            </w:r>
          </w:p>
        </w:tc>
        <w:tc>
          <w:tcPr>
            <w:tcW w:w="1416" w:type="dxa"/>
          </w:tcPr>
          <w:p w14:paraId="04B8F9A3" w14:textId="53693C84" w:rsidR="00C06496" w:rsidRPr="009D7DFC" w:rsidRDefault="00C06496" w:rsidP="00C06496">
            <w:pPr>
              <w:spacing w:after="0" w:line="240" w:lineRule="auto"/>
              <w:rPr>
                <w:rFonts w:ascii="Arial Narrow" w:hAnsi="Arial Narrow" w:cs="Calibri"/>
                <w:color w:val="000000"/>
              </w:rPr>
            </w:pPr>
          </w:p>
        </w:tc>
      </w:tr>
      <w:tr w:rsidR="00C06496" w:rsidRPr="009D7DFC" w14:paraId="04B8F9AB" w14:textId="77777777" w:rsidTr="00171F4A">
        <w:trPr>
          <w:cantSplit/>
          <w:trHeight w:val="426"/>
          <w:jc w:val="center"/>
        </w:trPr>
        <w:tc>
          <w:tcPr>
            <w:tcW w:w="805" w:type="dxa"/>
            <w:noWrap/>
          </w:tcPr>
          <w:p w14:paraId="04B8F9A6" w14:textId="0D94061F"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lastRenderedPageBreak/>
              <w:t>6</w:t>
            </w:r>
          </w:p>
        </w:tc>
        <w:tc>
          <w:tcPr>
            <w:tcW w:w="6840" w:type="dxa"/>
          </w:tcPr>
          <w:p w14:paraId="04B8F9A7" w14:textId="1DEB44AE" w:rsidR="00C06496" w:rsidRPr="009D7DFC" w:rsidRDefault="00C06496" w:rsidP="00C06496">
            <w:pPr>
              <w:spacing w:after="0"/>
              <w:rPr>
                <w:rFonts w:ascii="Arial Narrow" w:hAnsi="Arial Narrow"/>
              </w:rPr>
            </w:pPr>
            <w:r w:rsidRPr="009D7DFC">
              <w:rPr>
                <w:rFonts w:ascii="Arial Narrow" w:hAnsi="Arial Narrow"/>
              </w:rPr>
              <w:t xml:space="preserve">Collect vaginal fluid from the lateral vaginal wall or the posterior fornix for </w:t>
            </w:r>
            <w:r w:rsidRPr="00F73AF7">
              <w:rPr>
                <w:rFonts w:ascii="Arial Narrow" w:hAnsi="Arial Narrow"/>
                <w:b/>
                <w:bCs/>
              </w:rPr>
              <w:t>rapid trichomonas</w:t>
            </w:r>
            <w:r w:rsidRPr="009D7DFC">
              <w:rPr>
                <w:rFonts w:ascii="Arial Narrow" w:hAnsi="Arial Narrow"/>
              </w:rPr>
              <w:t xml:space="preserve"> test.  Using the </w:t>
            </w:r>
            <w:r w:rsidR="005A4611">
              <w:rPr>
                <w:rFonts w:ascii="Arial Narrow" w:hAnsi="Arial Narrow"/>
              </w:rPr>
              <w:t>manufacturer</w:t>
            </w:r>
            <w:r w:rsidR="00557A0F" w:rsidRPr="00557A0F">
              <w:rPr>
                <w:rFonts w:ascii="Arial Narrow" w:hAnsi="Arial Narrow"/>
              </w:rPr>
              <w:t>-provided</w:t>
            </w:r>
            <w:r w:rsidRPr="009D7DFC">
              <w:rPr>
                <w:rFonts w:ascii="Arial Narrow" w:hAnsi="Arial Narrow"/>
              </w:rPr>
              <w:t xml:space="preserve"> swab from an OSOM kit, swab fluid from lateral vaginal wall, place swab in labeled tube (plain), and cap tub</w:t>
            </w:r>
            <w:r w:rsidRPr="00A772BF">
              <w:rPr>
                <w:rFonts w:ascii="Arial Narrow" w:hAnsi="Arial Narrow"/>
              </w:rPr>
              <w:t xml:space="preserve">e. </w:t>
            </w:r>
          </w:p>
        </w:tc>
        <w:tc>
          <w:tcPr>
            <w:tcW w:w="1710" w:type="dxa"/>
          </w:tcPr>
          <w:p w14:paraId="04B8F9A8" w14:textId="77777777" w:rsidR="00C06496" w:rsidRPr="003A0819" w:rsidRDefault="00C06496" w:rsidP="00C06496">
            <w:pPr>
              <w:spacing w:after="0" w:line="240" w:lineRule="auto"/>
              <w:jc w:val="center"/>
              <w:rPr>
                <w:rFonts w:ascii="Arial Narrow" w:hAnsi="Arial Narrow" w:cs="Calibri"/>
                <w:b/>
                <w:bCs/>
                <w:color w:val="000000"/>
              </w:rPr>
            </w:pPr>
            <w:r w:rsidRPr="003A0819">
              <w:rPr>
                <w:rFonts w:ascii="Arial Narrow" w:hAnsi="Arial Narrow" w:cs="Calibri"/>
                <w:b/>
                <w:bCs/>
                <w:color w:val="000000"/>
              </w:rPr>
              <w:t>Screening</w:t>
            </w:r>
          </w:p>
        </w:tc>
        <w:tc>
          <w:tcPr>
            <w:tcW w:w="1416" w:type="dxa"/>
          </w:tcPr>
          <w:p w14:paraId="04B8F9A9" w14:textId="081CCBEC" w:rsidR="00C06496" w:rsidRPr="009D7DFC" w:rsidRDefault="00C06496" w:rsidP="00C06496">
            <w:pPr>
              <w:spacing w:after="0" w:line="240" w:lineRule="auto"/>
              <w:rPr>
                <w:rFonts w:ascii="Arial Narrow" w:hAnsi="Arial Narrow" w:cs="Calibri"/>
                <w:color w:val="000000"/>
              </w:rPr>
            </w:pPr>
          </w:p>
        </w:tc>
      </w:tr>
      <w:tr w:rsidR="00C06496" w:rsidRPr="009D7DFC" w14:paraId="04B8F9B1" w14:textId="77777777" w:rsidTr="00171F4A">
        <w:trPr>
          <w:cantSplit/>
          <w:trHeight w:val="426"/>
          <w:jc w:val="center"/>
        </w:trPr>
        <w:tc>
          <w:tcPr>
            <w:tcW w:w="805" w:type="dxa"/>
            <w:noWrap/>
          </w:tcPr>
          <w:p w14:paraId="04B8F9AC" w14:textId="1376F2D8"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7</w:t>
            </w:r>
          </w:p>
        </w:tc>
        <w:tc>
          <w:tcPr>
            <w:tcW w:w="6840" w:type="dxa"/>
          </w:tcPr>
          <w:p w14:paraId="04B8F9AD" w14:textId="574620F0" w:rsidR="00C06496" w:rsidRPr="00196C40" w:rsidRDefault="00C06496" w:rsidP="00C06496">
            <w:pPr>
              <w:spacing w:after="0"/>
              <w:rPr>
                <w:rFonts w:ascii="Arial Narrow" w:hAnsi="Arial Narrow"/>
              </w:rPr>
            </w:pPr>
            <w:r w:rsidRPr="00196C40">
              <w:rPr>
                <w:rFonts w:ascii="Arial Narrow" w:hAnsi="Arial Narrow"/>
              </w:rPr>
              <w:t>If indicated, collect vaginal fluid (1 swab) from lateral vaginal wall or posterior fornix for saline wet mount for clue cells (</w:t>
            </w:r>
            <w:r w:rsidRPr="00196C40">
              <w:rPr>
                <w:rFonts w:ascii="Arial Narrow" w:hAnsi="Arial Narrow"/>
                <w:b/>
                <w:bCs/>
              </w:rPr>
              <w:t>BV</w:t>
            </w:r>
            <w:r w:rsidRPr="00196C40">
              <w:rPr>
                <w:rFonts w:ascii="Arial Narrow" w:hAnsi="Arial Narrow"/>
              </w:rPr>
              <w:t xml:space="preserve">) and KOH wet mount for </w:t>
            </w:r>
            <w:r w:rsidRPr="00196C40">
              <w:rPr>
                <w:rFonts w:ascii="Arial Narrow" w:hAnsi="Arial Narrow"/>
                <w:b/>
                <w:bCs/>
              </w:rPr>
              <w:t>candidiasis</w:t>
            </w:r>
            <w:r w:rsidRPr="00196C40">
              <w:rPr>
                <w:rFonts w:ascii="Arial Narrow" w:hAnsi="Arial Narrow"/>
              </w:rPr>
              <w:t>.  Place swab in labeled tube (saline) and cap tube. Document results on STI Test Results CRF</w:t>
            </w:r>
            <w:r w:rsidR="00164B92">
              <w:rPr>
                <w:rFonts w:ascii="Arial Narrow" w:hAnsi="Arial Narrow"/>
              </w:rPr>
              <w:t xml:space="preserve"> during follow-up</w:t>
            </w:r>
            <w:r w:rsidRPr="00196C40">
              <w:rPr>
                <w:rFonts w:ascii="Arial Narrow" w:hAnsi="Arial Narrow"/>
              </w:rPr>
              <w:t>.</w:t>
            </w:r>
          </w:p>
        </w:tc>
        <w:tc>
          <w:tcPr>
            <w:tcW w:w="1710" w:type="dxa"/>
          </w:tcPr>
          <w:p w14:paraId="04B8F9AE" w14:textId="161E0FAE" w:rsidR="00C06496" w:rsidRPr="00196C40" w:rsidRDefault="00C06496" w:rsidP="00C06496">
            <w:pPr>
              <w:spacing w:after="0" w:line="240" w:lineRule="auto"/>
              <w:jc w:val="center"/>
              <w:rPr>
                <w:rFonts w:ascii="Arial Narrow" w:hAnsi="Arial Narrow" w:cs="Calibri"/>
                <w:b/>
                <w:color w:val="000000"/>
              </w:rPr>
            </w:pPr>
            <w:r w:rsidRPr="00196C40">
              <w:rPr>
                <w:rFonts w:ascii="Arial Narrow" w:hAnsi="Arial Narrow" w:cs="Calibri"/>
                <w:b/>
                <w:color w:val="000000"/>
              </w:rPr>
              <w:t>If indicated at any visit</w:t>
            </w:r>
          </w:p>
        </w:tc>
        <w:tc>
          <w:tcPr>
            <w:tcW w:w="1416" w:type="dxa"/>
          </w:tcPr>
          <w:p w14:paraId="04B8F9AF" w14:textId="53F4BA99" w:rsidR="00C06496" w:rsidRPr="009D7DFC" w:rsidRDefault="00C06496" w:rsidP="00C06496">
            <w:pPr>
              <w:spacing w:after="0" w:line="240" w:lineRule="auto"/>
              <w:rPr>
                <w:rFonts w:ascii="Arial Narrow" w:hAnsi="Arial Narrow" w:cs="Calibri"/>
                <w:color w:val="000000"/>
              </w:rPr>
            </w:pPr>
          </w:p>
        </w:tc>
      </w:tr>
      <w:tr w:rsidR="00C06496" w:rsidRPr="009D7DFC" w14:paraId="04B8F9B7" w14:textId="77777777" w:rsidTr="00171F4A">
        <w:trPr>
          <w:cantSplit/>
          <w:trHeight w:val="426"/>
          <w:jc w:val="center"/>
        </w:trPr>
        <w:tc>
          <w:tcPr>
            <w:tcW w:w="805" w:type="dxa"/>
            <w:noWrap/>
          </w:tcPr>
          <w:p w14:paraId="04B8F9B2" w14:textId="5A1CB412"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8</w:t>
            </w:r>
          </w:p>
        </w:tc>
        <w:tc>
          <w:tcPr>
            <w:tcW w:w="6840" w:type="dxa"/>
          </w:tcPr>
          <w:p w14:paraId="04B8F9B3" w14:textId="7B684EED" w:rsidR="00C06496" w:rsidRPr="00196C40" w:rsidRDefault="00635D6D" w:rsidP="00635D6D">
            <w:pPr>
              <w:spacing w:after="0"/>
              <w:rPr>
                <w:rFonts w:ascii="Arial Narrow" w:hAnsi="Arial Narrow"/>
              </w:rPr>
            </w:pPr>
            <w:r>
              <w:rPr>
                <w:rFonts w:ascii="Arial Narrow" w:hAnsi="Arial Narrow"/>
              </w:rPr>
              <w:t>If indicated, c</w:t>
            </w:r>
            <w:r w:rsidRPr="00196C40">
              <w:rPr>
                <w:rFonts w:ascii="Arial Narrow" w:hAnsi="Arial Narrow"/>
              </w:rPr>
              <w:t xml:space="preserve">ollect </w:t>
            </w:r>
            <w:r w:rsidR="00C06496" w:rsidRPr="00196C40">
              <w:rPr>
                <w:rFonts w:ascii="Arial Narrow" w:hAnsi="Arial Narrow"/>
              </w:rPr>
              <w:t xml:space="preserve">vaginal fluid (1 swab) from lateral vaginal wall for </w:t>
            </w:r>
            <w:r w:rsidR="00C06496" w:rsidRPr="00196C40">
              <w:rPr>
                <w:rFonts w:ascii="Arial Narrow" w:hAnsi="Arial Narrow"/>
                <w:b/>
                <w:bCs/>
              </w:rPr>
              <w:t>pH</w:t>
            </w:r>
            <w:r w:rsidR="00C06496" w:rsidRPr="00196C40">
              <w:rPr>
                <w:rFonts w:ascii="Arial Narrow" w:hAnsi="Arial Narrow"/>
              </w:rPr>
              <w:t xml:space="preserve">. Document results on the Pelvic Exam CRF. </w:t>
            </w:r>
          </w:p>
        </w:tc>
        <w:tc>
          <w:tcPr>
            <w:tcW w:w="1710" w:type="dxa"/>
          </w:tcPr>
          <w:p w14:paraId="04B8F9B4" w14:textId="45BAA584" w:rsidR="00C06496" w:rsidRPr="0070029D" w:rsidRDefault="00635D6D" w:rsidP="00C06496">
            <w:pPr>
              <w:spacing w:after="0" w:line="240" w:lineRule="auto"/>
              <w:jc w:val="center"/>
              <w:rPr>
                <w:rFonts w:ascii="Arial Narrow" w:hAnsi="Arial Narrow" w:cs="Calibri"/>
                <w:b/>
                <w:bCs/>
                <w:color w:val="000000"/>
              </w:rPr>
            </w:pPr>
            <w:r w:rsidRPr="00196C40">
              <w:rPr>
                <w:rFonts w:ascii="Arial Narrow" w:hAnsi="Arial Narrow" w:cs="Calibri"/>
                <w:b/>
                <w:color w:val="000000"/>
              </w:rPr>
              <w:t>If indicated at any visit</w:t>
            </w:r>
          </w:p>
        </w:tc>
        <w:tc>
          <w:tcPr>
            <w:tcW w:w="1416" w:type="dxa"/>
          </w:tcPr>
          <w:p w14:paraId="04B8F9B5" w14:textId="1561F918" w:rsidR="00C06496" w:rsidRPr="009D7DFC" w:rsidRDefault="00C06496" w:rsidP="00C06496">
            <w:pPr>
              <w:spacing w:after="0" w:line="240" w:lineRule="auto"/>
              <w:rPr>
                <w:rFonts w:ascii="Arial Narrow" w:hAnsi="Arial Narrow" w:cs="Calibri"/>
                <w:color w:val="000000"/>
              </w:rPr>
            </w:pPr>
          </w:p>
        </w:tc>
      </w:tr>
      <w:tr w:rsidR="00C06496" w:rsidRPr="009D7DFC" w14:paraId="04B8F9C3" w14:textId="77777777" w:rsidTr="00171F4A">
        <w:trPr>
          <w:cantSplit/>
          <w:trHeight w:val="426"/>
          <w:jc w:val="center"/>
        </w:trPr>
        <w:tc>
          <w:tcPr>
            <w:tcW w:w="805" w:type="dxa"/>
            <w:noWrap/>
          </w:tcPr>
          <w:p w14:paraId="04B8F9BE" w14:textId="272C2FD2" w:rsidR="00C06496" w:rsidRPr="009D7DFC" w:rsidRDefault="00171F4A" w:rsidP="00C06496">
            <w:pPr>
              <w:spacing w:after="0" w:line="240" w:lineRule="auto"/>
              <w:rPr>
                <w:rFonts w:ascii="Arial Narrow" w:hAnsi="Arial Narrow" w:cs="Calibri"/>
                <w:color w:val="000000"/>
              </w:rPr>
            </w:pPr>
            <w:r>
              <w:rPr>
                <w:rFonts w:ascii="Arial Narrow" w:hAnsi="Arial Narrow" w:cs="Calibri"/>
                <w:color w:val="000000"/>
              </w:rPr>
              <w:t>9</w:t>
            </w:r>
          </w:p>
        </w:tc>
        <w:tc>
          <w:tcPr>
            <w:tcW w:w="6840" w:type="dxa"/>
          </w:tcPr>
          <w:p w14:paraId="04B8F9BF" w14:textId="20C590C6" w:rsidR="00C06496" w:rsidRPr="009D7DFC" w:rsidRDefault="00C06496" w:rsidP="00C06496">
            <w:pPr>
              <w:spacing w:after="0"/>
              <w:rPr>
                <w:rFonts w:ascii="Arial Narrow" w:hAnsi="Arial Narrow"/>
              </w:rPr>
            </w:pPr>
            <w:r w:rsidRPr="009D7DFC">
              <w:rPr>
                <w:rFonts w:ascii="Arial Narrow" w:hAnsi="Arial Narrow"/>
              </w:rPr>
              <w:t xml:space="preserve">Collect vaginal fluid (1 swab) from the lateral vaginal wall for </w:t>
            </w:r>
            <w:r w:rsidRPr="0081088D">
              <w:rPr>
                <w:rFonts w:ascii="Arial Narrow" w:hAnsi="Arial Narrow"/>
                <w:b/>
                <w:bCs/>
              </w:rPr>
              <w:t>Gram stain</w:t>
            </w:r>
            <w:r w:rsidRPr="009D7DFC">
              <w:rPr>
                <w:rFonts w:ascii="Arial Narrow" w:hAnsi="Arial Narrow"/>
              </w:rPr>
              <w:t xml:space="preserve"> evaluation</w:t>
            </w:r>
            <w:r w:rsidR="001E3BD6">
              <w:rPr>
                <w:rFonts w:ascii="Arial Narrow" w:hAnsi="Arial Narrow"/>
              </w:rPr>
              <w:t xml:space="preserve"> </w:t>
            </w:r>
            <w:r w:rsidR="001E3BD6" w:rsidRPr="001E3BD6">
              <w:rPr>
                <w:rFonts w:ascii="Arial Narrow" w:hAnsi="Arial Narrow"/>
              </w:rPr>
              <w:t>(turn swab 3x)</w:t>
            </w:r>
            <w:r w:rsidRPr="009D7DFC">
              <w:rPr>
                <w:rFonts w:ascii="Arial Narrow" w:hAnsi="Arial Narrow"/>
              </w:rPr>
              <w:t xml:space="preserve">.  Roll swab across two slides and air dry. </w:t>
            </w:r>
          </w:p>
        </w:tc>
        <w:tc>
          <w:tcPr>
            <w:tcW w:w="1710" w:type="dxa"/>
          </w:tcPr>
          <w:p w14:paraId="04B8F9C0" w14:textId="77777777" w:rsidR="00C06496" w:rsidRPr="003D500F" w:rsidRDefault="00C06496" w:rsidP="00C06496">
            <w:pPr>
              <w:spacing w:after="0" w:line="240" w:lineRule="auto"/>
              <w:jc w:val="center"/>
              <w:rPr>
                <w:rFonts w:ascii="Arial Narrow" w:hAnsi="Arial Narrow" w:cs="Calibri"/>
                <w:b/>
                <w:bCs/>
                <w:color w:val="000000"/>
              </w:rPr>
            </w:pPr>
            <w:r w:rsidRPr="003D500F">
              <w:rPr>
                <w:rFonts w:ascii="Arial Narrow" w:hAnsi="Arial Narrow" w:cs="Calibri"/>
                <w:b/>
                <w:bCs/>
                <w:color w:val="000000"/>
              </w:rPr>
              <w:t>Enrollment, Days 3, 28 and 35</w:t>
            </w:r>
          </w:p>
        </w:tc>
        <w:tc>
          <w:tcPr>
            <w:tcW w:w="1416" w:type="dxa"/>
          </w:tcPr>
          <w:p w14:paraId="04B8F9C1" w14:textId="121ED093" w:rsidR="00C06496" w:rsidRPr="009D7DFC" w:rsidRDefault="00C06496" w:rsidP="00C06496">
            <w:pPr>
              <w:spacing w:after="0" w:line="240" w:lineRule="auto"/>
              <w:rPr>
                <w:rFonts w:ascii="Arial Narrow" w:hAnsi="Arial Narrow" w:cs="Calibri"/>
                <w:color w:val="000000"/>
              </w:rPr>
            </w:pPr>
          </w:p>
        </w:tc>
      </w:tr>
      <w:tr w:rsidR="00C06496" w:rsidRPr="009D7DFC" w14:paraId="04B8F9CF" w14:textId="77777777" w:rsidTr="00171F4A">
        <w:trPr>
          <w:cantSplit/>
          <w:trHeight w:val="426"/>
          <w:jc w:val="center"/>
        </w:trPr>
        <w:tc>
          <w:tcPr>
            <w:tcW w:w="805" w:type="dxa"/>
            <w:noWrap/>
          </w:tcPr>
          <w:p w14:paraId="04B8F9CA" w14:textId="6EE7C423" w:rsidR="00C06496" w:rsidRPr="009D7DFC" w:rsidRDefault="00BB1F69" w:rsidP="00C06496">
            <w:pPr>
              <w:spacing w:after="0" w:line="240" w:lineRule="auto"/>
              <w:rPr>
                <w:rFonts w:ascii="Arial Narrow" w:hAnsi="Arial Narrow" w:cs="Calibri"/>
                <w:color w:val="000000"/>
              </w:rPr>
            </w:pPr>
            <w:r>
              <w:rPr>
                <w:rFonts w:ascii="Arial Narrow" w:hAnsi="Arial Narrow" w:cs="Calibri"/>
                <w:color w:val="000000"/>
              </w:rPr>
              <w:t>1</w:t>
            </w:r>
            <w:r w:rsidR="00171F4A">
              <w:rPr>
                <w:rFonts w:ascii="Arial Narrow" w:hAnsi="Arial Narrow" w:cs="Calibri"/>
                <w:color w:val="000000"/>
              </w:rPr>
              <w:t>0</w:t>
            </w:r>
          </w:p>
        </w:tc>
        <w:tc>
          <w:tcPr>
            <w:tcW w:w="6840" w:type="dxa"/>
          </w:tcPr>
          <w:p w14:paraId="04B8F9CB" w14:textId="77777777" w:rsidR="00C06496" w:rsidRPr="009D7DFC" w:rsidRDefault="00C06496" w:rsidP="00C06496">
            <w:pPr>
              <w:spacing w:after="0"/>
              <w:rPr>
                <w:rFonts w:ascii="Arial Narrow" w:hAnsi="Arial Narrow"/>
              </w:rPr>
            </w:pPr>
            <w:r w:rsidRPr="009D7DFC">
              <w:rPr>
                <w:rFonts w:ascii="Arial Narrow" w:hAnsi="Arial Narrow"/>
              </w:rPr>
              <w:t>Collect 1 manufacturer’s recommended</w:t>
            </w:r>
            <w:r>
              <w:rPr>
                <w:rFonts w:ascii="Arial Narrow" w:hAnsi="Arial Narrow"/>
              </w:rPr>
              <w:t xml:space="preserve"> vaginal</w:t>
            </w:r>
            <w:r w:rsidRPr="009D7DFC">
              <w:rPr>
                <w:rFonts w:ascii="Arial Narrow" w:hAnsi="Arial Narrow"/>
              </w:rPr>
              <w:t xml:space="preserve"> swab for </w:t>
            </w:r>
            <w:r w:rsidRPr="0081088D">
              <w:rPr>
                <w:rFonts w:ascii="Arial Narrow" w:hAnsi="Arial Narrow"/>
                <w:b/>
                <w:bCs/>
              </w:rPr>
              <w:t>NAAT for GC/CT testing</w:t>
            </w:r>
            <w:r w:rsidRPr="009D7DFC">
              <w:rPr>
                <w:rFonts w:ascii="Arial Narrow" w:hAnsi="Arial Narrow"/>
              </w:rPr>
              <w:t>.</w:t>
            </w:r>
          </w:p>
        </w:tc>
        <w:tc>
          <w:tcPr>
            <w:tcW w:w="1710" w:type="dxa"/>
          </w:tcPr>
          <w:p w14:paraId="04B8F9CC" w14:textId="77777777" w:rsidR="00C06496" w:rsidRPr="003D500F" w:rsidRDefault="00C06496" w:rsidP="00C06496">
            <w:pPr>
              <w:spacing w:after="0" w:line="240" w:lineRule="auto"/>
              <w:jc w:val="center"/>
              <w:rPr>
                <w:rFonts w:ascii="Arial Narrow" w:hAnsi="Arial Narrow" w:cs="Calibri"/>
                <w:b/>
                <w:bCs/>
                <w:color w:val="000000"/>
              </w:rPr>
            </w:pPr>
            <w:r w:rsidRPr="003D500F">
              <w:rPr>
                <w:rFonts w:ascii="Arial Narrow" w:hAnsi="Arial Narrow" w:cs="Calibri"/>
                <w:b/>
                <w:bCs/>
                <w:color w:val="000000"/>
              </w:rPr>
              <w:t>Screening</w:t>
            </w:r>
          </w:p>
        </w:tc>
        <w:tc>
          <w:tcPr>
            <w:tcW w:w="1416" w:type="dxa"/>
          </w:tcPr>
          <w:p w14:paraId="04B8F9CD" w14:textId="4249031E" w:rsidR="00C06496" w:rsidRPr="009D7DFC" w:rsidRDefault="00C06496" w:rsidP="00C06496">
            <w:pPr>
              <w:spacing w:after="0" w:line="240" w:lineRule="auto"/>
              <w:rPr>
                <w:rFonts w:ascii="Arial Narrow" w:hAnsi="Arial Narrow" w:cs="Calibri"/>
                <w:color w:val="000000"/>
              </w:rPr>
            </w:pPr>
          </w:p>
        </w:tc>
      </w:tr>
      <w:tr w:rsidR="00B474B2" w:rsidRPr="009D7DFC" w14:paraId="44655D5B" w14:textId="77777777" w:rsidTr="00171F4A">
        <w:trPr>
          <w:cantSplit/>
          <w:trHeight w:val="426"/>
          <w:jc w:val="center"/>
        </w:trPr>
        <w:tc>
          <w:tcPr>
            <w:tcW w:w="805" w:type="dxa"/>
            <w:noWrap/>
          </w:tcPr>
          <w:p w14:paraId="58A35610" w14:textId="4D0B1668" w:rsidR="00B474B2" w:rsidRPr="009D7DFC" w:rsidRDefault="00BB1F69" w:rsidP="00171F4A">
            <w:pPr>
              <w:spacing w:after="0" w:line="240" w:lineRule="auto"/>
              <w:rPr>
                <w:rFonts w:ascii="Arial Narrow" w:hAnsi="Arial Narrow" w:cs="Calibri"/>
                <w:color w:val="000000"/>
              </w:rPr>
            </w:pPr>
            <w:r>
              <w:rPr>
                <w:rFonts w:ascii="Arial Narrow" w:hAnsi="Arial Narrow" w:cs="Calibri"/>
                <w:color w:val="000000"/>
              </w:rPr>
              <w:lastRenderedPageBreak/>
              <w:t>1</w:t>
            </w:r>
            <w:r w:rsidR="00171F4A">
              <w:rPr>
                <w:rFonts w:ascii="Arial Narrow" w:hAnsi="Arial Narrow" w:cs="Calibri"/>
                <w:color w:val="000000"/>
              </w:rPr>
              <w:t>1</w:t>
            </w:r>
          </w:p>
        </w:tc>
        <w:tc>
          <w:tcPr>
            <w:tcW w:w="6840" w:type="dxa"/>
          </w:tcPr>
          <w:p w14:paraId="0D298599" w14:textId="1F1DA9ED" w:rsidR="00B474B2" w:rsidRPr="009D7DFC" w:rsidRDefault="00B474B2" w:rsidP="00B474B2">
            <w:pPr>
              <w:spacing w:after="0"/>
              <w:rPr>
                <w:rFonts w:ascii="Arial Narrow" w:hAnsi="Arial Narrow"/>
              </w:rPr>
            </w:pPr>
            <w:r>
              <w:rPr>
                <w:rFonts w:ascii="Arial Narrow" w:hAnsi="Arial Narrow"/>
              </w:rPr>
              <w:t>If indicated, c</w:t>
            </w:r>
            <w:r w:rsidRPr="009D7DFC">
              <w:rPr>
                <w:rFonts w:ascii="Arial Narrow" w:hAnsi="Arial Narrow"/>
              </w:rPr>
              <w:t xml:space="preserve">ollect ecto- and endocervical cells for </w:t>
            </w:r>
            <w:r w:rsidRPr="00DC5D25">
              <w:rPr>
                <w:rFonts w:ascii="Arial Narrow" w:hAnsi="Arial Narrow"/>
                <w:b/>
                <w:bCs/>
              </w:rPr>
              <w:t>Pap smear</w:t>
            </w:r>
            <w:r w:rsidRPr="009D7DFC">
              <w:rPr>
                <w:rFonts w:ascii="Arial Narrow" w:hAnsi="Arial Narrow"/>
              </w:rPr>
              <w:t xml:space="preserve"> per site SOPs</w:t>
            </w:r>
            <w:r>
              <w:rPr>
                <w:rFonts w:ascii="Arial Narrow" w:hAnsi="Arial Narrow"/>
              </w:rPr>
              <w:t>.</w:t>
            </w:r>
          </w:p>
        </w:tc>
        <w:tc>
          <w:tcPr>
            <w:tcW w:w="1710" w:type="dxa"/>
          </w:tcPr>
          <w:p w14:paraId="0CF6F3A2" w14:textId="0F4CC02A" w:rsidR="00B474B2" w:rsidRPr="003D500F" w:rsidRDefault="00B474B2" w:rsidP="00B474B2">
            <w:pPr>
              <w:spacing w:after="0" w:line="240" w:lineRule="auto"/>
              <w:jc w:val="center"/>
              <w:rPr>
                <w:rFonts w:ascii="Arial Narrow" w:hAnsi="Arial Narrow" w:cs="Calibri"/>
                <w:b/>
                <w:bCs/>
                <w:color w:val="000000"/>
              </w:rPr>
            </w:pPr>
            <w:r w:rsidRPr="00196C40">
              <w:rPr>
                <w:rFonts w:ascii="Arial Narrow" w:hAnsi="Arial Narrow" w:cs="Calibri"/>
                <w:b/>
                <w:color w:val="000000"/>
              </w:rPr>
              <w:t xml:space="preserve">If indicated at Screening </w:t>
            </w:r>
          </w:p>
        </w:tc>
        <w:tc>
          <w:tcPr>
            <w:tcW w:w="1416" w:type="dxa"/>
          </w:tcPr>
          <w:p w14:paraId="78ED5867" w14:textId="4C098F35" w:rsidR="00B474B2" w:rsidRPr="009D7DFC" w:rsidRDefault="00B474B2" w:rsidP="00B474B2">
            <w:pPr>
              <w:spacing w:after="0" w:line="240" w:lineRule="auto"/>
              <w:rPr>
                <w:rFonts w:ascii="Arial Narrow" w:hAnsi="Arial Narrow" w:cs="Calibri"/>
                <w:color w:val="000000"/>
              </w:rPr>
            </w:pPr>
          </w:p>
        </w:tc>
      </w:tr>
      <w:tr w:rsidR="00B474B2" w:rsidRPr="009D7DFC" w14:paraId="04B8F9E1" w14:textId="77777777" w:rsidTr="00171F4A">
        <w:trPr>
          <w:cantSplit/>
          <w:trHeight w:val="426"/>
          <w:jc w:val="center"/>
        </w:trPr>
        <w:tc>
          <w:tcPr>
            <w:tcW w:w="805" w:type="dxa"/>
            <w:noWrap/>
          </w:tcPr>
          <w:p w14:paraId="04B8F9DC" w14:textId="2E81DC44" w:rsidR="00B474B2" w:rsidRPr="009D7DFC" w:rsidRDefault="00BB1F69" w:rsidP="00171F4A">
            <w:pPr>
              <w:spacing w:after="0" w:line="240" w:lineRule="auto"/>
              <w:rPr>
                <w:rFonts w:ascii="Arial Narrow" w:hAnsi="Arial Narrow" w:cs="Calibri"/>
                <w:color w:val="000000"/>
              </w:rPr>
            </w:pPr>
            <w:r>
              <w:rPr>
                <w:rFonts w:ascii="Arial Narrow" w:hAnsi="Arial Narrow" w:cs="Calibri"/>
                <w:color w:val="000000"/>
              </w:rPr>
              <w:t>1</w:t>
            </w:r>
            <w:r w:rsidR="00171F4A">
              <w:rPr>
                <w:rFonts w:ascii="Arial Narrow" w:hAnsi="Arial Narrow" w:cs="Calibri"/>
                <w:color w:val="000000"/>
              </w:rPr>
              <w:t>2</w:t>
            </w:r>
          </w:p>
        </w:tc>
        <w:tc>
          <w:tcPr>
            <w:tcW w:w="6840" w:type="dxa"/>
          </w:tcPr>
          <w:p w14:paraId="04B8F9DD" w14:textId="0379391F" w:rsidR="00B474B2" w:rsidRPr="00196C40" w:rsidRDefault="00B474B2" w:rsidP="0024517B">
            <w:pPr>
              <w:keepLines/>
              <w:spacing w:after="0"/>
              <w:rPr>
                <w:rFonts w:ascii="Arial Narrow" w:hAnsi="Arial Narrow" w:cs="Arial"/>
                <w:sz w:val="24"/>
                <w:szCs w:val="24"/>
              </w:rPr>
            </w:pPr>
            <w:r w:rsidRPr="00196C40">
              <w:rPr>
                <w:rFonts w:ascii="Arial Narrow" w:hAnsi="Arial Narrow" w:cs="Arial"/>
              </w:rPr>
              <w:t xml:space="preserve">Collect </w:t>
            </w:r>
            <w:r>
              <w:rPr>
                <w:rFonts w:ascii="Arial Narrow" w:hAnsi="Arial Narrow" w:cs="Arial"/>
              </w:rPr>
              <w:t>1</w:t>
            </w:r>
            <w:r w:rsidRPr="00196C40">
              <w:rPr>
                <w:rFonts w:ascii="Arial Narrow" w:hAnsi="Arial Narrow" w:cs="Arial"/>
              </w:rPr>
              <w:t xml:space="preserve"> </w:t>
            </w:r>
            <w:r w:rsidRPr="00FD0611">
              <w:rPr>
                <w:rFonts w:ascii="Arial Narrow" w:hAnsi="Arial Narrow" w:cs="Arial"/>
                <w:b/>
              </w:rPr>
              <w:t>cervical biopsies for PK</w:t>
            </w:r>
            <w:r w:rsidR="0024517B">
              <w:rPr>
                <w:rFonts w:ascii="Arial Narrow" w:hAnsi="Arial Narrow" w:cs="Arial"/>
              </w:rPr>
              <w:t xml:space="preserve">.  Note: </w:t>
            </w:r>
            <w:r w:rsidR="0024517B" w:rsidRPr="0024517B">
              <w:rPr>
                <w:rFonts w:ascii="Arial Narrow" w:hAnsi="Arial Narrow" w:cs="Arial"/>
              </w:rPr>
              <w:t xml:space="preserve">If silver nitrate/monsels solution is used to stop bleeding </w:t>
            </w:r>
            <w:r w:rsidR="0024517B">
              <w:rPr>
                <w:rFonts w:ascii="Arial Narrow" w:hAnsi="Arial Narrow" w:cs="Arial"/>
              </w:rPr>
              <w:t>note this in</w:t>
            </w:r>
            <w:r w:rsidR="0024517B" w:rsidRPr="0024517B">
              <w:rPr>
                <w:rFonts w:ascii="Arial Narrow" w:hAnsi="Arial Narrow" w:cs="Arial"/>
              </w:rPr>
              <w:t xml:space="preserve"> comments</w:t>
            </w:r>
            <w:r w:rsidR="0024517B">
              <w:rPr>
                <w:rFonts w:ascii="Arial Narrow" w:hAnsi="Arial Narrow" w:cs="Arial"/>
              </w:rPr>
              <w:t xml:space="preserve"> section</w:t>
            </w:r>
            <w:r w:rsidR="0024517B" w:rsidRPr="0024517B">
              <w:rPr>
                <w:rFonts w:ascii="Arial Narrow" w:hAnsi="Arial Narrow" w:cs="Arial"/>
              </w:rPr>
              <w:t xml:space="preserve"> of Pharmacokinetics Specimens—Day 28</w:t>
            </w:r>
            <w:r w:rsidR="0024517B">
              <w:rPr>
                <w:rFonts w:ascii="Arial Narrow" w:hAnsi="Arial Narrow" w:cs="Arial"/>
              </w:rPr>
              <w:t xml:space="preserve"> </w:t>
            </w:r>
            <w:r w:rsidR="0024517B" w:rsidRPr="0024517B">
              <w:rPr>
                <w:rFonts w:ascii="Arial Narrow" w:hAnsi="Arial Narrow" w:cs="Arial"/>
              </w:rPr>
              <w:t xml:space="preserve">CRF. </w:t>
            </w:r>
            <w:r w:rsidRPr="00196C40">
              <w:rPr>
                <w:rFonts w:ascii="Arial Narrow" w:hAnsi="Arial Narrow" w:cs="Arial"/>
              </w:rPr>
              <w:t xml:space="preserve"> </w:t>
            </w:r>
          </w:p>
        </w:tc>
        <w:tc>
          <w:tcPr>
            <w:tcW w:w="1710" w:type="dxa"/>
          </w:tcPr>
          <w:p w14:paraId="04B8F9DE" w14:textId="77777777" w:rsidR="00B474B2" w:rsidRPr="003D500F" w:rsidRDefault="00B474B2" w:rsidP="00B474B2">
            <w:pPr>
              <w:spacing w:after="0" w:line="240" w:lineRule="auto"/>
              <w:jc w:val="center"/>
              <w:rPr>
                <w:rFonts w:ascii="Arial Narrow" w:hAnsi="Arial Narrow" w:cs="Calibri"/>
                <w:b/>
                <w:bCs/>
                <w:color w:val="000000"/>
              </w:rPr>
            </w:pPr>
            <w:r w:rsidRPr="003D500F">
              <w:rPr>
                <w:rFonts w:ascii="Arial Narrow" w:hAnsi="Arial Narrow" w:cs="Calibri"/>
                <w:b/>
                <w:bCs/>
                <w:color w:val="000000"/>
              </w:rPr>
              <w:t>Day 28</w:t>
            </w:r>
          </w:p>
        </w:tc>
        <w:tc>
          <w:tcPr>
            <w:tcW w:w="1416" w:type="dxa"/>
          </w:tcPr>
          <w:p w14:paraId="04B8F9DF" w14:textId="686135CE" w:rsidR="00B474B2" w:rsidRPr="009D7DFC" w:rsidRDefault="00B474B2" w:rsidP="00B474B2">
            <w:pPr>
              <w:spacing w:after="0" w:line="240" w:lineRule="auto"/>
              <w:rPr>
                <w:rFonts w:ascii="Arial Narrow" w:hAnsi="Arial Narrow" w:cs="Calibri"/>
                <w:color w:val="000000"/>
              </w:rPr>
            </w:pPr>
          </w:p>
        </w:tc>
      </w:tr>
      <w:tr w:rsidR="00B474B2" w:rsidRPr="009D7DFC" w14:paraId="04B8F9ED" w14:textId="77777777" w:rsidTr="00171F4A">
        <w:trPr>
          <w:cantSplit/>
          <w:trHeight w:val="426"/>
          <w:jc w:val="center"/>
        </w:trPr>
        <w:tc>
          <w:tcPr>
            <w:tcW w:w="805" w:type="dxa"/>
            <w:noWrap/>
          </w:tcPr>
          <w:p w14:paraId="04B8F9E8" w14:textId="5E01573D"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w:t>
            </w:r>
            <w:r w:rsidR="00171F4A">
              <w:rPr>
                <w:rFonts w:ascii="Arial Narrow" w:hAnsi="Arial Narrow" w:cs="Calibri"/>
                <w:color w:val="000000"/>
              </w:rPr>
              <w:t>3</w:t>
            </w:r>
          </w:p>
        </w:tc>
        <w:tc>
          <w:tcPr>
            <w:tcW w:w="6840" w:type="dxa"/>
          </w:tcPr>
          <w:p w14:paraId="04B8F9E9" w14:textId="77777777" w:rsidR="00B474B2" w:rsidRPr="009D7DFC" w:rsidRDefault="00B474B2" w:rsidP="00B474B2">
            <w:pPr>
              <w:keepLines/>
              <w:spacing w:after="0"/>
              <w:rPr>
                <w:rFonts w:ascii="Arial Narrow" w:hAnsi="Arial Narrow" w:cs="Arial"/>
                <w:sz w:val="24"/>
                <w:szCs w:val="24"/>
                <w:highlight w:val="yellow"/>
              </w:rPr>
            </w:pPr>
            <w:r>
              <w:rPr>
                <w:rFonts w:ascii="Arial Narrow" w:hAnsi="Arial Narrow" w:cs="Arial"/>
              </w:rPr>
              <w:t>R</w:t>
            </w:r>
            <w:r w:rsidRPr="009D7DFC">
              <w:rPr>
                <w:rFonts w:ascii="Arial Narrow" w:hAnsi="Arial Narrow" w:cs="Arial"/>
              </w:rPr>
              <w:t>emove speculum and perform bimanual exam.</w:t>
            </w:r>
          </w:p>
        </w:tc>
        <w:tc>
          <w:tcPr>
            <w:tcW w:w="1710" w:type="dxa"/>
          </w:tcPr>
          <w:p w14:paraId="04B8F9EA" w14:textId="41CED906" w:rsidR="00B474B2" w:rsidRPr="00196C40" w:rsidRDefault="00B474B2" w:rsidP="00B474B2">
            <w:pPr>
              <w:spacing w:after="0" w:line="240" w:lineRule="auto"/>
              <w:jc w:val="center"/>
              <w:rPr>
                <w:rFonts w:ascii="Arial Narrow" w:hAnsi="Arial Narrow" w:cs="Calibri"/>
                <w:b/>
                <w:color w:val="000000"/>
              </w:rPr>
            </w:pPr>
            <w:r w:rsidRPr="00196C40">
              <w:rPr>
                <w:rFonts w:ascii="Arial Narrow" w:hAnsi="Arial Narrow" w:cs="Calibri"/>
                <w:b/>
                <w:color w:val="000000"/>
              </w:rPr>
              <w:t>All</w:t>
            </w:r>
          </w:p>
        </w:tc>
        <w:tc>
          <w:tcPr>
            <w:tcW w:w="1416" w:type="dxa"/>
          </w:tcPr>
          <w:p w14:paraId="04B8F9EB" w14:textId="65511B4F" w:rsidR="00B474B2" w:rsidRPr="009D7DFC" w:rsidRDefault="00B474B2" w:rsidP="00B474B2">
            <w:pPr>
              <w:spacing w:after="0" w:line="240" w:lineRule="auto"/>
              <w:rPr>
                <w:rFonts w:ascii="Arial Narrow" w:hAnsi="Arial Narrow" w:cs="Calibri"/>
                <w:color w:val="000000"/>
              </w:rPr>
            </w:pPr>
          </w:p>
        </w:tc>
      </w:tr>
      <w:tr w:rsidR="00B474B2" w:rsidRPr="009D7DFC" w14:paraId="04B8FA0B" w14:textId="77777777" w:rsidTr="00171F4A">
        <w:trPr>
          <w:cantSplit/>
          <w:trHeight w:val="426"/>
          <w:jc w:val="center"/>
        </w:trPr>
        <w:tc>
          <w:tcPr>
            <w:tcW w:w="805" w:type="dxa"/>
            <w:noWrap/>
          </w:tcPr>
          <w:p w14:paraId="04B8FA06" w14:textId="65ABA708" w:rsidR="00B474B2" w:rsidRPr="009D7DFC" w:rsidRDefault="00BB1F69" w:rsidP="00B474B2">
            <w:pPr>
              <w:spacing w:after="0" w:line="240" w:lineRule="auto"/>
              <w:rPr>
                <w:rFonts w:ascii="Arial Narrow" w:hAnsi="Arial Narrow" w:cs="Calibri"/>
                <w:color w:val="000000"/>
              </w:rPr>
            </w:pPr>
            <w:r>
              <w:rPr>
                <w:rFonts w:ascii="Arial Narrow" w:hAnsi="Arial Narrow" w:cs="Calibri"/>
                <w:color w:val="000000"/>
              </w:rPr>
              <w:t>1</w:t>
            </w:r>
            <w:r w:rsidR="00171F4A">
              <w:rPr>
                <w:rFonts w:ascii="Arial Narrow" w:hAnsi="Arial Narrow" w:cs="Calibri"/>
                <w:color w:val="000000"/>
              </w:rPr>
              <w:t>4</w:t>
            </w:r>
          </w:p>
        </w:tc>
        <w:tc>
          <w:tcPr>
            <w:tcW w:w="6840" w:type="dxa"/>
          </w:tcPr>
          <w:p w14:paraId="04B8FA07" w14:textId="77777777" w:rsidR="00B474B2" w:rsidRPr="00D21468" w:rsidRDefault="00B474B2" w:rsidP="00B474B2">
            <w:pPr>
              <w:keepLines/>
              <w:spacing w:after="0"/>
              <w:rPr>
                <w:rFonts w:ascii="Arial Narrow" w:hAnsi="Arial Narrow" w:cs="Arial"/>
                <w:sz w:val="24"/>
                <w:szCs w:val="24"/>
              </w:rPr>
            </w:pPr>
            <w:r>
              <w:rPr>
                <w:rFonts w:ascii="Arial Narrow" w:hAnsi="Arial Narrow" w:cs="Arial"/>
              </w:rPr>
              <w:t>Record specimen collection</w:t>
            </w:r>
            <w:r w:rsidRPr="00D21468">
              <w:rPr>
                <w:rFonts w:ascii="Arial Narrow" w:hAnsi="Arial Narrow" w:cs="Arial"/>
              </w:rPr>
              <w:t xml:space="preserve"> on </w:t>
            </w:r>
            <w:r w:rsidRPr="00FD0611">
              <w:rPr>
                <w:rFonts w:ascii="Arial Narrow" w:hAnsi="Arial Narrow" w:cs="Arial"/>
                <w:b/>
              </w:rPr>
              <w:t>LDMS Specimen Tracking Sheet</w:t>
            </w:r>
            <w:r w:rsidRPr="00D21468">
              <w:rPr>
                <w:rFonts w:ascii="Arial Narrow" w:hAnsi="Arial Narrow" w:cs="Arial"/>
              </w:rPr>
              <w:t xml:space="preserve"> and </w:t>
            </w:r>
            <w:r w:rsidRPr="00FD0611">
              <w:rPr>
                <w:rFonts w:ascii="Arial Narrow" w:hAnsi="Arial Narrow" w:cs="Arial"/>
                <w:b/>
              </w:rPr>
              <w:t>Specimen Storage CRF</w:t>
            </w:r>
            <w:r w:rsidRPr="00D21468">
              <w:rPr>
                <w:rFonts w:ascii="Arial Narrow" w:hAnsi="Arial Narrow" w:cs="Arial"/>
              </w:rPr>
              <w:t>.</w:t>
            </w:r>
          </w:p>
        </w:tc>
        <w:tc>
          <w:tcPr>
            <w:tcW w:w="1710" w:type="dxa"/>
          </w:tcPr>
          <w:p w14:paraId="04B8FA08" w14:textId="1ED37682" w:rsidR="00B474B2" w:rsidRPr="00196C40" w:rsidRDefault="00B474B2" w:rsidP="00B474B2">
            <w:pPr>
              <w:spacing w:after="0" w:line="240" w:lineRule="auto"/>
              <w:jc w:val="center"/>
              <w:rPr>
                <w:rFonts w:ascii="Arial Narrow" w:hAnsi="Arial Narrow" w:cs="Calibri"/>
                <w:b/>
                <w:color w:val="000000"/>
              </w:rPr>
            </w:pPr>
            <w:r w:rsidRPr="00196C40">
              <w:rPr>
                <w:rFonts w:ascii="Arial Narrow" w:hAnsi="Arial Narrow" w:cs="Calibri"/>
                <w:b/>
                <w:color w:val="000000"/>
              </w:rPr>
              <w:t>As Applicable</w:t>
            </w:r>
          </w:p>
        </w:tc>
        <w:tc>
          <w:tcPr>
            <w:tcW w:w="1416" w:type="dxa"/>
          </w:tcPr>
          <w:p w14:paraId="04B8FA09" w14:textId="3CFEADEB" w:rsidR="00B474B2" w:rsidRPr="009D7DFC" w:rsidRDefault="00B474B2" w:rsidP="00B474B2">
            <w:pPr>
              <w:spacing w:after="0" w:line="240" w:lineRule="auto"/>
              <w:rPr>
                <w:rFonts w:ascii="Arial Narrow" w:hAnsi="Arial Narrow" w:cs="Calibri"/>
                <w:color w:val="000000"/>
              </w:rPr>
            </w:pPr>
          </w:p>
        </w:tc>
      </w:tr>
      <w:tr w:rsidR="00B474B2" w:rsidRPr="009D7DFC" w14:paraId="04B8FA13" w14:textId="77777777" w:rsidTr="00171F4A">
        <w:trPr>
          <w:cantSplit/>
          <w:trHeight w:val="426"/>
          <w:jc w:val="center"/>
        </w:trPr>
        <w:tc>
          <w:tcPr>
            <w:tcW w:w="805" w:type="dxa"/>
            <w:tcBorders>
              <w:bottom w:val="single" w:sz="4" w:space="0" w:color="auto"/>
            </w:tcBorders>
            <w:noWrap/>
          </w:tcPr>
          <w:p w14:paraId="04B8FA0C" w14:textId="5E1452DB" w:rsidR="00B474B2" w:rsidRPr="009D7DFC" w:rsidRDefault="00171F4A" w:rsidP="00B474B2">
            <w:pPr>
              <w:spacing w:after="0" w:line="240" w:lineRule="auto"/>
              <w:rPr>
                <w:rFonts w:ascii="Arial Narrow" w:hAnsi="Arial Narrow" w:cs="Calibri"/>
                <w:color w:val="000000"/>
              </w:rPr>
            </w:pPr>
            <w:r>
              <w:rPr>
                <w:rFonts w:ascii="Arial Narrow" w:hAnsi="Arial Narrow" w:cs="Calibri"/>
                <w:color w:val="000000"/>
              </w:rPr>
              <w:t>15</w:t>
            </w:r>
          </w:p>
        </w:tc>
        <w:tc>
          <w:tcPr>
            <w:tcW w:w="6840" w:type="dxa"/>
            <w:tcBorders>
              <w:bottom w:val="single" w:sz="4" w:space="0" w:color="auto"/>
            </w:tcBorders>
          </w:tcPr>
          <w:p w14:paraId="04B8FA0D" w14:textId="77777777" w:rsidR="00B474B2" w:rsidRPr="009D7DFC" w:rsidRDefault="00B474B2" w:rsidP="00B474B2">
            <w:pPr>
              <w:keepLines/>
              <w:spacing w:after="0"/>
              <w:rPr>
                <w:rFonts w:ascii="Arial Narrow" w:hAnsi="Arial Narrow" w:cs="Arial"/>
                <w:sz w:val="24"/>
                <w:szCs w:val="24"/>
              </w:rPr>
            </w:pPr>
            <w:r w:rsidRPr="009D7DFC">
              <w:rPr>
                <w:rFonts w:ascii="Arial Narrow" w:hAnsi="Arial Narrow" w:cs="Arial"/>
              </w:rPr>
              <w:t xml:space="preserve">Complete all applicable DataFax and non-DataFax forms.  </w:t>
            </w:r>
          </w:p>
          <w:p w14:paraId="04B8FA0E" w14:textId="77777777" w:rsidR="00B474B2" w:rsidRPr="009D7DFC" w:rsidRDefault="00B474B2" w:rsidP="00B474B2">
            <w:pPr>
              <w:keepLines/>
              <w:numPr>
                <w:ilvl w:val="0"/>
                <w:numId w:val="17"/>
              </w:numPr>
              <w:tabs>
                <w:tab w:val="clear" w:pos="1050"/>
              </w:tabs>
              <w:spacing w:after="0" w:line="240" w:lineRule="auto"/>
              <w:ind w:left="442"/>
              <w:rPr>
                <w:rFonts w:ascii="Arial Narrow" w:hAnsi="Arial Narrow" w:cs="Arial"/>
              </w:rPr>
            </w:pPr>
            <w:r w:rsidRPr="009D7DFC">
              <w:rPr>
                <w:rFonts w:ascii="Arial Narrow" w:hAnsi="Arial Narrow" w:cs="Arial"/>
              </w:rPr>
              <w:t xml:space="preserve">Note </w:t>
            </w:r>
            <w:r w:rsidRPr="009D7DFC">
              <w:rPr>
                <w:rFonts w:ascii="Arial Narrow" w:hAnsi="Arial Narrow" w:cs="Arial"/>
                <w:u w:val="single"/>
              </w:rPr>
              <w:t>all</w:t>
            </w:r>
            <w:r w:rsidRPr="009D7DFC">
              <w:rPr>
                <w:rFonts w:ascii="Arial Narrow" w:hAnsi="Arial Narrow" w:cs="Arial"/>
              </w:rPr>
              <w:t xml:space="preserve"> findings on the </w:t>
            </w:r>
            <w:r w:rsidRPr="00FD0611">
              <w:rPr>
                <w:rFonts w:ascii="Arial Narrow" w:hAnsi="Arial Narrow" w:cs="Arial"/>
                <w:b/>
              </w:rPr>
              <w:t>Pelvic Exam Diagrams CRF</w:t>
            </w:r>
            <w:r w:rsidRPr="009D7DFC">
              <w:rPr>
                <w:rFonts w:ascii="Arial Narrow" w:hAnsi="Arial Narrow" w:cs="Arial"/>
              </w:rPr>
              <w:t xml:space="preserve">.  </w:t>
            </w:r>
          </w:p>
          <w:p w14:paraId="04B8FA0F" w14:textId="60AAEBF8" w:rsidR="00B474B2" w:rsidRPr="009D7DFC" w:rsidRDefault="00B474B2" w:rsidP="00B474B2">
            <w:pPr>
              <w:keepLines/>
              <w:numPr>
                <w:ilvl w:val="0"/>
                <w:numId w:val="17"/>
              </w:numPr>
              <w:tabs>
                <w:tab w:val="clear" w:pos="1050"/>
              </w:tabs>
              <w:spacing w:after="0" w:line="240" w:lineRule="auto"/>
              <w:ind w:left="442"/>
              <w:rPr>
                <w:rFonts w:ascii="Arial Narrow" w:hAnsi="Arial Narrow" w:cs="Arial"/>
                <w:sz w:val="24"/>
                <w:szCs w:val="24"/>
              </w:rPr>
            </w:pPr>
            <w:r>
              <w:rPr>
                <w:rFonts w:ascii="Arial Narrow" w:hAnsi="Arial Narrow" w:cs="Arial"/>
              </w:rPr>
              <w:t>D</w:t>
            </w:r>
            <w:r w:rsidRPr="009D7DFC">
              <w:rPr>
                <w:rFonts w:ascii="Arial Narrow" w:hAnsi="Arial Narrow" w:cs="Arial"/>
              </w:rPr>
              <w:t xml:space="preserve">ocument </w:t>
            </w:r>
            <w:r w:rsidRPr="009D7DFC">
              <w:rPr>
                <w:rFonts w:ascii="Arial Narrow" w:hAnsi="Arial Narrow" w:cs="Arial"/>
                <w:u w:val="single"/>
              </w:rPr>
              <w:t>abnormal findings only</w:t>
            </w:r>
            <w:r w:rsidRPr="009D7DFC">
              <w:rPr>
                <w:rFonts w:ascii="Arial Narrow" w:hAnsi="Arial Narrow" w:cs="Arial"/>
              </w:rPr>
              <w:t xml:space="preserve"> on the </w:t>
            </w:r>
            <w:r w:rsidRPr="00FD0611">
              <w:rPr>
                <w:rFonts w:ascii="Arial Narrow" w:hAnsi="Arial Narrow" w:cs="Arial"/>
                <w:b/>
              </w:rPr>
              <w:t xml:space="preserve">Pelvic Exam CRF, Pre-existing Conditions </w:t>
            </w:r>
            <w:r w:rsidRPr="009D7DFC">
              <w:rPr>
                <w:rFonts w:ascii="Arial Narrow" w:hAnsi="Arial Narrow" w:cs="Arial"/>
              </w:rPr>
              <w:t>form (Enrollment visit only)</w:t>
            </w:r>
            <w:r>
              <w:rPr>
                <w:rFonts w:ascii="Arial Narrow" w:hAnsi="Arial Narrow" w:cs="Arial"/>
              </w:rPr>
              <w:t xml:space="preserve">, </w:t>
            </w:r>
            <w:r w:rsidRPr="00FD0611">
              <w:rPr>
                <w:rFonts w:ascii="Arial Narrow" w:hAnsi="Arial Narrow" w:cs="Arial"/>
                <w:b/>
              </w:rPr>
              <w:t>AE Log CRF</w:t>
            </w:r>
            <w:r w:rsidRPr="009D7DFC">
              <w:rPr>
                <w:rFonts w:ascii="Arial Narrow" w:hAnsi="Arial Narrow" w:cs="Arial"/>
              </w:rPr>
              <w:t xml:space="preserve"> as applicable (post-Enrollment visits only), and in chart notes as applicable.  </w:t>
            </w:r>
          </w:p>
        </w:tc>
        <w:tc>
          <w:tcPr>
            <w:tcW w:w="1710" w:type="dxa"/>
            <w:tcBorders>
              <w:bottom w:val="single" w:sz="4" w:space="0" w:color="auto"/>
            </w:tcBorders>
          </w:tcPr>
          <w:p w14:paraId="04B8FA10" w14:textId="31761B51" w:rsidR="00B474B2" w:rsidRPr="00196C40" w:rsidRDefault="00B474B2" w:rsidP="00B474B2">
            <w:pPr>
              <w:spacing w:after="0" w:line="240" w:lineRule="auto"/>
              <w:jc w:val="center"/>
              <w:rPr>
                <w:rFonts w:ascii="Arial Narrow" w:hAnsi="Arial Narrow" w:cs="Calibri"/>
                <w:b/>
                <w:color w:val="000000"/>
              </w:rPr>
            </w:pPr>
            <w:r w:rsidRPr="00196C40">
              <w:rPr>
                <w:rFonts w:ascii="Arial Narrow" w:hAnsi="Arial Narrow" w:cs="Calibri"/>
                <w:b/>
                <w:color w:val="000000"/>
              </w:rPr>
              <w:t>All</w:t>
            </w:r>
          </w:p>
        </w:tc>
        <w:tc>
          <w:tcPr>
            <w:tcW w:w="1416" w:type="dxa"/>
            <w:tcBorders>
              <w:bottom w:val="single" w:sz="4" w:space="0" w:color="auto"/>
            </w:tcBorders>
          </w:tcPr>
          <w:p w14:paraId="04B8FA11" w14:textId="0727924B" w:rsidR="00B474B2" w:rsidRPr="009D7DFC" w:rsidRDefault="00B474B2" w:rsidP="00B474B2">
            <w:pPr>
              <w:spacing w:after="0" w:line="240" w:lineRule="auto"/>
              <w:rPr>
                <w:rFonts w:ascii="Arial Narrow" w:hAnsi="Arial Narrow" w:cs="Calibri"/>
                <w:color w:val="000000"/>
              </w:rPr>
            </w:pPr>
          </w:p>
        </w:tc>
      </w:tr>
    </w:tbl>
    <w:p w14:paraId="04B8FA14" w14:textId="77777777" w:rsidR="009441F8" w:rsidRPr="00B02899" w:rsidRDefault="009441F8" w:rsidP="00AD7DE0">
      <w:pPr>
        <w:ind w:left="-810"/>
        <w:rPr>
          <w:rFonts w:ascii="Arial Narrow" w:hAnsi="Arial Narrow"/>
        </w:rPr>
      </w:pPr>
    </w:p>
    <w:sectPr w:rsidR="009441F8" w:rsidRPr="00B02899" w:rsidSect="00CA71EF">
      <w:headerReference w:type="default" r:id="rId12"/>
      <w:footerReference w:type="default" r:id="rId13"/>
      <w:pgSz w:w="12240" w:h="15840"/>
      <w:pgMar w:top="1260" w:right="1440" w:bottom="1170" w:left="1440" w:header="72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5C80" w14:textId="77777777" w:rsidR="004360D1" w:rsidRDefault="004360D1" w:rsidP="00664B51">
      <w:pPr>
        <w:spacing w:after="0" w:line="240" w:lineRule="auto"/>
      </w:pPr>
      <w:r>
        <w:separator/>
      </w:r>
    </w:p>
  </w:endnote>
  <w:endnote w:type="continuationSeparator" w:id="0">
    <w:p w14:paraId="34069162" w14:textId="77777777" w:rsidR="004360D1" w:rsidRDefault="004360D1" w:rsidP="00664B51">
      <w:pPr>
        <w:spacing w:after="0" w:line="240" w:lineRule="auto"/>
      </w:pPr>
      <w:r>
        <w:continuationSeparator/>
      </w:r>
    </w:p>
  </w:endnote>
  <w:endnote w:type="continuationNotice" w:id="1">
    <w:p w14:paraId="6BD19CE9" w14:textId="77777777" w:rsidR="004360D1" w:rsidRDefault="00436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Narrow">
    <w:altName w:val="Segoe Script"/>
    <w:charset w:val="00"/>
    <w:family w:val="swiss"/>
    <w:pitch w:val="variable"/>
    <w:sig w:usb0="00000001"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FA1C" w14:textId="4ECA3945" w:rsidR="00FD0611" w:rsidRDefault="00FD0611">
    <w:pPr>
      <w:pStyle w:val="Footer"/>
    </w:pPr>
    <w:r>
      <w:rPr>
        <w:sz w:val="18"/>
        <w:szCs w:val="18"/>
      </w:rPr>
      <w:t>Pelvic Exam Checklist – Version 1.0</w:t>
    </w:r>
    <w:r>
      <w:rPr>
        <w:sz w:val="18"/>
        <w:szCs w:val="18"/>
      </w:rPr>
      <w:tab/>
    </w:r>
    <w:r w:rsidRPr="00AD7DE0">
      <w:rPr>
        <w:sz w:val="18"/>
        <w:szCs w:val="18"/>
      </w:rPr>
      <w:t xml:space="preserve">Page </w:t>
    </w:r>
    <w:r w:rsidRPr="00AD7DE0">
      <w:rPr>
        <w:b/>
        <w:bCs/>
        <w:sz w:val="18"/>
        <w:szCs w:val="18"/>
      </w:rPr>
      <w:fldChar w:fldCharType="begin"/>
    </w:r>
    <w:r w:rsidRPr="00AD7DE0">
      <w:rPr>
        <w:b/>
        <w:bCs/>
        <w:sz w:val="18"/>
        <w:szCs w:val="18"/>
      </w:rPr>
      <w:instrText xml:space="preserve"> PAGE  \* Arabic  \* MERGEFORMAT </w:instrText>
    </w:r>
    <w:r w:rsidRPr="00AD7DE0">
      <w:rPr>
        <w:b/>
        <w:bCs/>
        <w:sz w:val="18"/>
        <w:szCs w:val="18"/>
      </w:rPr>
      <w:fldChar w:fldCharType="separate"/>
    </w:r>
    <w:r w:rsidR="00F04965">
      <w:rPr>
        <w:b/>
        <w:bCs/>
        <w:noProof/>
        <w:sz w:val="18"/>
        <w:szCs w:val="18"/>
      </w:rPr>
      <w:t>2</w:t>
    </w:r>
    <w:r w:rsidRPr="00AD7DE0">
      <w:rPr>
        <w:b/>
        <w:bCs/>
        <w:sz w:val="18"/>
        <w:szCs w:val="18"/>
      </w:rPr>
      <w:fldChar w:fldCharType="end"/>
    </w:r>
    <w:r w:rsidRPr="00AD7DE0">
      <w:rPr>
        <w:sz w:val="18"/>
        <w:szCs w:val="18"/>
      </w:rPr>
      <w:t xml:space="preserve"> of </w:t>
    </w:r>
    <w:r w:rsidRPr="00AD7DE0">
      <w:rPr>
        <w:b/>
        <w:bCs/>
        <w:sz w:val="18"/>
        <w:szCs w:val="18"/>
      </w:rPr>
      <w:fldChar w:fldCharType="begin"/>
    </w:r>
    <w:r w:rsidRPr="00AD7DE0">
      <w:rPr>
        <w:b/>
        <w:bCs/>
        <w:sz w:val="18"/>
        <w:szCs w:val="18"/>
      </w:rPr>
      <w:instrText xml:space="preserve"> NUMPAGES  \* Arabic  \* MERGEFORMAT </w:instrText>
    </w:r>
    <w:r w:rsidRPr="00AD7DE0">
      <w:rPr>
        <w:b/>
        <w:bCs/>
        <w:sz w:val="18"/>
        <w:szCs w:val="18"/>
      </w:rPr>
      <w:fldChar w:fldCharType="separate"/>
    </w:r>
    <w:r w:rsidR="00F04965">
      <w:rPr>
        <w:b/>
        <w:bCs/>
        <w:noProof/>
        <w:sz w:val="18"/>
        <w:szCs w:val="18"/>
      </w:rPr>
      <w:t>3</w:t>
    </w:r>
    <w:r w:rsidRPr="00AD7DE0">
      <w:rPr>
        <w:b/>
        <w:bCs/>
        <w:sz w:val="18"/>
        <w:szCs w:val="18"/>
      </w:rPr>
      <w:fldChar w:fldCharType="end"/>
    </w:r>
    <w:r>
      <w:rPr>
        <w:sz w:val="18"/>
        <w:szCs w:val="18"/>
      </w:rPr>
      <w:tab/>
    </w:r>
    <w:r w:rsidR="00171F4A" w:rsidRPr="00171F4A">
      <w:rPr>
        <w:sz w:val="18"/>
        <w:szCs w:val="18"/>
      </w:rPr>
      <w:t>17</w:t>
    </w:r>
    <w:r w:rsidR="00635D6D" w:rsidRPr="00171F4A">
      <w:rPr>
        <w:sz w:val="18"/>
        <w:szCs w:val="18"/>
      </w:rPr>
      <w:t xml:space="preserve"> April</w:t>
    </w:r>
    <w:r w:rsidRPr="00171F4A">
      <w:rPr>
        <w:sz w:val="18"/>
        <w:szCs w:val="1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D5A50" w14:textId="77777777" w:rsidR="004360D1" w:rsidRDefault="004360D1" w:rsidP="00664B51">
      <w:pPr>
        <w:spacing w:after="0" w:line="240" w:lineRule="auto"/>
      </w:pPr>
      <w:r>
        <w:separator/>
      </w:r>
    </w:p>
  </w:footnote>
  <w:footnote w:type="continuationSeparator" w:id="0">
    <w:p w14:paraId="1601CA38" w14:textId="77777777" w:rsidR="004360D1" w:rsidRDefault="004360D1" w:rsidP="00664B51">
      <w:pPr>
        <w:spacing w:after="0" w:line="240" w:lineRule="auto"/>
      </w:pPr>
      <w:r>
        <w:continuationSeparator/>
      </w:r>
    </w:p>
  </w:footnote>
  <w:footnote w:type="continuationNotice" w:id="1">
    <w:p w14:paraId="62C65F17" w14:textId="77777777" w:rsidR="004360D1" w:rsidRDefault="004360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FA1A" w14:textId="77777777" w:rsidR="00FD0611" w:rsidRPr="00B02899" w:rsidRDefault="00FD0611" w:rsidP="009441F8">
    <w:pPr>
      <w:pStyle w:val="Footer"/>
      <w:tabs>
        <w:tab w:val="clear" w:pos="9360"/>
        <w:tab w:val="right" w:pos="9990"/>
      </w:tabs>
      <w:ind w:left="-630" w:right="-630"/>
      <w:jc w:val="both"/>
      <w:rPr>
        <w:rFonts w:ascii="Arial Narrow" w:hAnsi="Arial Narrow"/>
        <w:sz w:val="20"/>
        <w:szCs w:val="20"/>
      </w:rPr>
    </w:pPr>
    <w:r w:rsidRPr="00B02899">
      <w:rPr>
        <w:rFonts w:ascii="Arial Narrow" w:hAnsi="Arial Narrow"/>
        <w:b/>
        <w:sz w:val="20"/>
        <w:szCs w:val="20"/>
      </w:rPr>
      <w:t>Instructions:</w:t>
    </w:r>
    <w:r w:rsidRPr="00B02899">
      <w:rPr>
        <w:rFonts w:ascii="Arial Narrow" w:hAnsi="Arial Narrow"/>
        <w:sz w:val="20"/>
        <w:szCs w:val="20"/>
      </w:rPr>
      <w:t xml:space="preserve"> </w:t>
    </w:r>
  </w:p>
  <w:p w14:paraId="04B8FA1B" w14:textId="77777777" w:rsidR="00FD0611" w:rsidRDefault="00FD0611" w:rsidP="009441F8">
    <w:pPr>
      <w:pStyle w:val="Footer"/>
      <w:tabs>
        <w:tab w:val="clear" w:pos="9360"/>
        <w:tab w:val="right" w:pos="9990"/>
      </w:tabs>
      <w:ind w:left="-630" w:right="-630"/>
      <w:jc w:val="both"/>
    </w:pPr>
    <w:r w:rsidRPr="00B02899">
      <w:rPr>
        <w:rFonts w:ascii="Arial Narrow" w:hAnsi="Arial Narrow"/>
        <w:sz w:val="20"/>
        <w:szCs w:val="20"/>
      </w:rPr>
      <w:t xml:space="preserve">This checklist should be used for every </w:t>
    </w:r>
    <w:r w:rsidRPr="00B02899">
      <w:rPr>
        <w:rFonts w:ascii="Arial Narrow" w:hAnsi="Arial Narrow"/>
        <w:b/>
        <w:sz w:val="20"/>
        <w:szCs w:val="20"/>
      </w:rPr>
      <w:t>scheduled</w:t>
    </w:r>
    <w:r w:rsidRPr="00B02899">
      <w:rPr>
        <w:rFonts w:ascii="Arial Narrow" w:hAnsi="Arial Narrow"/>
        <w:sz w:val="20"/>
        <w:szCs w:val="20"/>
      </w:rPr>
      <w:t xml:space="preserve"> pelvic exam.  Clinically-indicated exams may be targeted and documented in chart notes only, or through use of this checklist as specified in site SOPs.</w:t>
    </w:r>
    <w:r w:rsidRPr="00B02899" w:rsidDel="00110198">
      <w:rPr>
        <w:rFonts w:ascii="Arial Narrow" w:hAnsi="Arial Narrow"/>
        <w:sz w:val="20"/>
        <w:szCs w:val="20"/>
      </w:rPr>
      <w:t xml:space="preserve"> </w:t>
    </w:r>
    <w:r w:rsidRPr="00B02899">
      <w:rPr>
        <w:rFonts w:ascii="Arial Narrow" w:hAnsi="Arial Narrow"/>
        <w:sz w:val="20"/>
        <w:szCs w:val="20"/>
      </w:rPr>
      <w:t xml:space="preserve">The “Required at visits” column indicates when the item is required during scheduled exams per-protocol. When an item is performed, complete “Staff Initials” cell. If not done but required, write “ND” and staff initials in “Staff Initials” cell, and provide more details in the chart notes as needed. Do not initial for other staff members.  If other staff members are not available to initial items themselves, write and initial/date a note documenting who completed the procedure, e.g., “done by {name}” or “done by nurse.” </w:t>
    </w:r>
    <w:r w:rsidRPr="00B02899">
      <w:rPr>
        <w:rFonts w:ascii="Arial Narrow" w:hAnsi="Arial Narrow"/>
        <w:b/>
        <w:sz w:val="20"/>
        <w:szCs w:val="20"/>
        <w:u w:val="single"/>
      </w:rPr>
      <w:t>Samples must be collected in the order listed on the checklist.</w:t>
    </w:r>
    <w:r>
      <w:rPr>
        <w:rFonts w:ascii="Arial Narrow" w:hAnsi="Arial Narrow"/>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45740"/>
    <w:multiLevelType w:val="hybridMultilevel"/>
    <w:tmpl w:val="559C919A"/>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21F3B"/>
    <w:multiLevelType w:val="hybridMultilevel"/>
    <w:tmpl w:val="A860E04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07D44"/>
    <w:multiLevelType w:val="hybridMultilevel"/>
    <w:tmpl w:val="0680CF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73A11"/>
    <w:multiLevelType w:val="hybridMultilevel"/>
    <w:tmpl w:val="6DA83904"/>
    <w:lvl w:ilvl="0" w:tplc="86E0D802">
      <w:numFmt w:val="bullet"/>
      <w:lvlText w:val=""/>
      <w:lvlJc w:val="left"/>
      <w:pPr>
        <w:tabs>
          <w:tab w:val="num" w:pos="1050"/>
        </w:tabs>
        <w:ind w:left="105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17CFD"/>
    <w:multiLevelType w:val="hybridMultilevel"/>
    <w:tmpl w:val="71D8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73121"/>
    <w:multiLevelType w:val="hybridMultilevel"/>
    <w:tmpl w:val="F6F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052ED1"/>
    <w:multiLevelType w:val="hybridMultilevel"/>
    <w:tmpl w:val="885A588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13150"/>
    <w:multiLevelType w:val="hybridMultilevel"/>
    <w:tmpl w:val="F2D8CF9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10"/>
  </w:num>
  <w:num w:numId="5">
    <w:abstractNumId w:val="8"/>
  </w:num>
  <w:num w:numId="6">
    <w:abstractNumId w:val="7"/>
  </w:num>
  <w:num w:numId="7">
    <w:abstractNumId w:val="0"/>
  </w:num>
  <w:num w:numId="8">
    <w:abstractNumId w:val="2"/>
  </w:num>
  <w:num w:numId="9">
    <w:abstractNumId w:val="13"/>
  </w:num>
  <w:num w:numId="10">
    <w:abstractNumId w:val="1"/>
  </w:num>
  <w:num w:numId="11">
    <w:abstractNumId w:val="6"/>
  </w:num>
  <w:num w:numId="12">
    <w:abstractNumId w:val="3"/>
  </w:num>
  <w:num w:numId="13">
    <w:abstractNumId w:val="16"/>
  </w:num>
  <w:num w:numId="14">
    <w:abstractNumId w:val="17"/>
  </w:num>
  <w:num w:numId="15">
    <w:abstractNumId w:val="4"/>
  </w:num>
  <w:num w:numId="16">
    <w:abstractNumId w:val="1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1"/>
    <w:rsid w:val="00000351"/>
    <w:rsid w:val="00006F4A"/>
    <w:rsid w:val="0002435A"/>
    <w:rsid w:val="000476AD"/>
    <w:rsid w:val="00050AE0"/>
    <w:rsid w:val="000549F0"/>
    <w:rsid w:val="000664B4"/>
    <w:rsid w:val="00077F12"/>
    <w:rsid w:val="000D1201"/>
    <w:rsid w:val="000D6386"/>
    <w:rsid w:val="000D6EA8"/>
    <w:rsid w:val="000E2DDB"/>
    <w:rsid w:val="000E571A"/>
    <w:rsid w:val="000F680D"/>
    <w:rsid w:val="00110198"/>
    <w:rsid w:val="001110D3"/>
    <w:rsid w:val="001149E9"/>
    <w:rsid w:val="00137675"/>
    <w:rsid w:val="00144DE2"/>
    <w:rsid w:val="00152F1D"/>
    <w:rsid w:val="00153B03"/>
    <w:rsid w:val="00164B92"/>
    <w:rsid w:val="00171F4A"/>
    <w:rsid w:val="001941C1"/>
    <w:rsid w:val="00195566"/>
    <w:rsid w:val="00196C40"/>
    <w:rsid w:val="0019745F"/>
    <w:rsid w:val="001A073E"/>
    <w:rsid w:val="001C1F04"/>
    <w:rsid w:val="001E0F05"/>
    <w:rsid w:val="001E3BD6"/>
    <w:rsid w:val="0021325A"/>
    <w:rsid w:val="0021558F"/>
    <w:rsid w:val="00227F67"/>
    <w:rsid w:val="0024517B"/>
    <w:rsid w:val="00270C3A"/>
    <w:rsid w:val="0027616D"/>
    <w:rsid w:val="00286F7E"/>
    <w:rsid w:val="00290C6A"/>
    <w:rsid w:val="00294BD5"/>
    <w:rsid w:val="002A6161"/>
    <w:rsid w:val="002C2729"/>
    <w:rsid w:val="002C4AC9"/>
    <w:rsid w:val="002C57E5"/>
    <w:rsid w:val="002E12C0"/>
    <w:rsid w:val="002E7AC3"/>
    <w:rsid w:val="003034B9"/>
    <w:rsid w:val="00312823"/>
    <w:rsid w:val="0031616C"/>
    <w:rsid w:val="003374F9"/>
    <w:rsid w:val="00337617"/>
    <w:rsid w:val="003505B8"/>
    <w:rsid w:val="003A0819"/>
    <w:rsid w:val="003A229C"/>
    <w:rsid w:val="003B07A2"/>
    <w:rsid w:val="003B14D6"/>
    <w:rsid w:val="003B279B"/>
    <w:rsid w:val="003C1E12"/>
    <w:rsid w:val="003C316E"/>
    <w:rsid w:val="003D2824"/>
    <w:rsid w:val="003D500F"/>
    <w:rsid w:val="003E73D2"/>
    <w:rsid w:val="004360D1"/>
    <w:rsid w:val="00440A0D"/>
    <w:rsid w:val="00441823"/>
    <w:rsid w:val="004420F0"/>
    <w:rsid w:val="004507F4"/>
    <w:rsid w:val="00452843"/>
    <w:rsid w:val="00455008"/>
    <w:rsid w:val="00465E98"/>
    <w:rsid w:val="004D5215"/>
    <w:rsid w:val="004E0368"/>
    <w:rsid w:val="004E28A5"/>
    <w:rsid w:val="004E2E60"/>
    <w:rsid w:val="00502000"/>
    <w:rsid w:val="00502E74"/>
    <w:rsid w:val="00505722"/>
    <w:rsid w:val="00525639"/>
    <w:rsid w:val="005507BD"/>
    <w:rsid w:val="00557A0F"/>
    <w:rsid w:val="00562E90"/>
    <w:rsid w:val="0056499E"/>
    <w:rsid w:val="005A4611"/>
    <w:rsid w:val="005B4DCB"/>
    <w:rsid w:val="005C7912"/>
    <w:rsid w:val="005D499B"/>
    <w:rsid w:val="005F42BA"/>
    <w:rsid w:val="00614EB1"/>
    <w:rsid w:val="006305BF"/>
    <w:rsid w:val="006309D0"/>
    <w:rsid w:val="00635D6D"/>
    <w:rsid w:val="00642301"/>
    <w:rsid w:val="006463FB"/>
    <w:rsid w:val="00655BBB"/>
    <w:rsid w:val="00655EA1"/>
    <w:rsid w:val="00663296"/>
    <w:rsid w:val="006648F5"/>
    <w:rsid w:val="00664B51"/>
    <w:rsid w:val="00681312"/>
    <w:rsid w:val="00697BFB"/>
    <w:rsid w:val="006A1BF0"/>
    <w:rsid w:val="006B01A0"/>
    <w:rsid w:val="006E12BE"/>
    <w:rsid w:val="006E38F0"/>
    <w:rsid w:val="0070029D"/>
    <w:rsid w:val="00702091"/>
    <w:rsid w:val="00706292"/>
    <w:rsid w:val="00713177"/>
    <w:rsid w:val="00717BBE"/>
    <w:rsid w:val="0076165B"/>
    <w:rsid w:val="00771AD7"/>
    <w:rsid w:val="007927C4"/>
    <w:rsid w:val="00794097"/>
    <w:rsid w:val="0079660B"/>
    <w:rsid w:val="007B4363"/>
    <w:rsid w:val="007C7137"/>
    <w:rsid w:val="007F1199"/>
    <w:rsid w:val="007F7837"/>
    <w:rsid w:val="0081088D"/>
    <w:rsid w:val="00827DFF"/>
    <w:rsid w:val="00832741"/>
    <w:rsid w:val="008332D0"/>
    <w:rsid w:val="00844674"/>
    <w:rsid w:val="00844D6F"/>
    <w:rsid w:val="00850729"/>
    <w:rsid w:val="00865266"/>
    <w:rsid w:val="008A3DDD"/>
    <w:rsid w:val="008A636B"/>
    <w:rsid w:val="008A6F23"/>
    <w:rsid w:val="008B0737"/>
    <w:rsid w:val="008B5294"/>
    <w:rsid w:val="008C6BA4"/>
    <w:rsid w:val="00936FF9"/>
    <w:rsid w:val="009441F8"/>
    <w:rsid w:val="009448A8"/>
    <w:rsid w:val="0096444F"/>
    <w:rsid w:val="00980382"/>
    <w:rsid w:val="009877A0"/>
    <w:rsid w:val="00994257"/>
    <w:rsid w:val="00996896"/>
    <w:rsid w:val="009A1C96"/>
    <w:rsid w:val="009B7833"/>
    <w:rsid w:val="009C6961"/>
    <w:rsid w:val="009D72CF"/>
    <w:rsid w:val="009D7DFC"/>
    <w:rsid w:val="009E3C43"/>
    <w:rsid w:val="009F2106"/>
    <w:rsid w:val="00A55FC6"/>
    <w:rsid w:val="00A60CA8"/>
    <w:rsid w:val="00A772BF"/>
    <w:rsid w:val="00A90E3A"/>
    <w:rsid w:val="00AA3AAD"/>
    <w:rsid w:val="00AB37AA"/>
    <w:rsid w:val="00AD3F67"/>
    <w:rsid w:val="00AD7DE0"/>
    <w:rsid w:val="00AE7F5E"/>
    <w:rsid w:val="00AF4393"/>
    <w:rsid w:val="00AF75C7"/>
    <w:rsid w:val="00B02899"/>
    <w:rsid w:val="00B02E4E"/>
    <w:rsid w:val="00B219B1"/>
    <w:rsid w:val="00B27601"/>
    <w:rsid w:val="00B2783A"/>
    <w:rsid w:val="00B474B2"/>
    <w:rsid w:val="00B629C5"/>
    <w:rsid w:val="00B74C1B"/>
    <w:rsid w:val="00B9465C"/>
    <w:rsid w:val="00BA0F7A"/>
    <w:rsid w:val="00BA67EC"/>
    <w:rsid w:val="00BB1F69"/>
    <w:rsid w:val="00BB6292"/>
    <w:rsid w:val="00BC2685"/>
    <w:rsid w:val="00BF0816"/>
    <w:rsid w:val="00BF0870"/>
    <w:rsid w:val="00BF1F17"/>
    <w:rsid w:val="00BF6E9D"/>
    <w:rsid w:val="00C06496"/>
    <w:rsid w:val="00C657F8"/>
    <w:rsid w:val="00CA02D7"/>
    <w:rsid w:val="00CA1695"/>
    <w:rsid w:val="00CA71EF"/>
    <w:rsid w:val="00CC2E83"/>
    <w:rsid w:val="00CD7E35"/>
    <w:rsid w:val="00CE1F3F"/>
    <w:rsid w:val="00CE3952"/>
    <w:rsid w:val="00D07155"/>
    <w:rsid w:val="00D21468"/>
    <w:rsid w:val="00DA380B"/>
    <w:rsid w:val="00DA45E7"/>
    <w:rsid w:val="00DA7D6C"/>
    <w:rsid w:val="00DB04B8"/>
    <w:rsid w:val="00DB6AC3"/>
    <w:rsid w:val="00DC12E8"/>
    <w:rsid w:val="00DC5D25"/>
    <w:rsid w:val="00DC740D"/>
    <w:rsid w:val="00DD2794"/>
    <w:rsid w:val="00E00120"/>
    <w:rsid w:val="00E014CE"/>
    <w:rsid w:val="00E14166"/>
    <w:rsid w:val="00E1610A"/>
    <w:rsid w:val="00E1749C"/>
    <w:rsid w:val="00E21B2F"/>
    <w:rsid w:val="00E40E20"/>
    <w:rsid w:val="00E40F7D"/>
    <w:rsid w:val="00E847CC"/>
    <w:rsid w:val="00E869C3"/>
    <w:rsid w:val="00E91672"/>
    <w:rsid w:val="00E93B04"/>
    <w:rsid w:val="00EE77A7"/>
    <w:rsid w:val="00EF1852"/>
    <w:rsid w:val="00F04965"/>
    <w:rsid w:val="00F355A0"/>
    <w:rsid w:val="00F41C1F"/>
    <w:rsid w:val="00F44E6B"/>
    <w:rsid w:val="00F45281"/>
    <w:rsid w:val="00F452EC"/>
    <w:rsid w:val="00F54AD9"/>
    <w:rsid w:val="00F62B45"/>
    <w:rsid w:val="00F63C92"/>
    <w:rsid w:val="00F65D34"/>
    <w:rsid w:val="00F66DC6"/>
    <w:rsid w:val="00F73AF7"/>
    <w:rsid w:val="00F81C5F"/>
    <w:rsid w:val="00FA1B59"/>
    <w:rsid w:val="00FA407D"/>
    <w:rsid w:val="00FC2C4C"/>
    <w:rsid w:val="00FD0611"/>
    <w:rsid w:val="14C069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8F965"/>
  <w15:docId w15:val="{B64C4696-F504-4A44-927E-59ACB203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2091"/>
    <w:pPr>
      <w:ind w:left="720"/>
      <w:contextualSpacing/>
    </w:pPr>
  </w:style>
  <w:style w:type="character" w:styleId="CommentReference">
    <w:name w:val="annotation reference"/>
    <w:basedOn w:val="DefaultParagraphFont"/>
    <w:uiPriority w:val="99"/>
    <w:semiHidden/>
    <w:rsid w:val="00702091"/>
    <w:rPr>
      <w:rFonts w:cs="Times New Roman"/>
      <w:sz w:val="16"/>
      <w:szCs w:val="16"/>
    </w:rPr>
  </w:style>
  <w:style w:type="paragraph" w:styleId="CommentText">
    <w:name w:val="annotation text"/>
    <w:basedOn w:val="Normal"/>
    <w:link w:val="CommentTextChar"/>
    <w:uiPriority w:val="99"/>
    <w:semiHidden/>
    <w:rsid w:val="007020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091"/>
    <w:rPr>
      <w:rFonts w:cs="Times New Roman"/>
      <w:sz w:val="20"/>
      <w:szCs w:val="20"/>
    </w:rPr>
  </w:style>
  <w:style w:type="paragraph" w:styleId="BalloonText">
    <w:name w:val="Balloon Text"/>
    <w:basedOn w:val="Normal"/>
    <w:link w:val="BalloonTextChar"/>
    <w:uiPriority w:val="99"/>
    <w:semiHidden/>
    <w:rsid w:val="0070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09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332D0"/>
    <w:rPr>
      <w:b/>
      <w:bCs/>
    </w:rPr>
  </w:style>
  <w:style w:type="character" w:customStyle="1" w:styleId="CommentSubjectChar">
    <w:name w:val="Comment Subject Char"/>
    <w:basedOn w:val="CommentTextChar"/>
    <w:link w:val="CommentSubject"/>
    <w:uiPriority w:val="99"/>
    <w:semiHidden/>
    <w:locked/>
    <w:rsid w:val="008332D0"/>
    <w:rPr>
      <w:rFonts w:cs="Times New Roman"/>
      <w:b/>
      <w:bCs/>
      <w:sz w:val="20"/>
      <w:szCs w:val="20"/>
    </w:rPr>
  </w:style>
  <w:style w:type="paragraph" w:styleId="Header">
    <w:name w:val="header"/>
    <w:basedOn w:val="Normal"/>
    <w:link w:val="HeaderChar"/>
    <w:uiPriority w:val="99"/>
    <w:rsid w:val="00664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B51"/>
    <w:rPr>
      <w:rFonts w:cs="Times New Roman"/>
    </w:rPr>
  </w:style>
  <w:style w:type="paragraph" w:styleId="Footer">
    <w:name w:val="footer"/>
    <w:basedOn w:val="Normal"/>
    <w:link w:val="FooterChar"/>
    <w:uiPriority w:val="99"/>
    <w:rsid w:val="00664B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B51"/>
    <w:rPr>
      <w:rFonts w:cs="Times New Roman"/>
    </w:rPr>
  </w:style>
  <w:style w:type="paragraph" w:styleId="Revision">
    <w:name w:val="Revision"/>
    <w:hidden/>
    <w:uiPriority w:val="99"/>
    <w:semiHidden/>
    <w:rsid w:val="00F63C92"/>
  </w:style>
  <w:style w:type="paragraph" w:styleId="BodyTextIndent">
    <w:name w:val="Body Text Indent"/>
    <w:basedOn w:val="Normal"/>
    <w:link w:val="BodyTextIndentChar"/>
    <w:uiPriority w:val="99"/>
    <w:rsid w:val="00663296"/>
    <w:pPr>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63296"/>
    <w:rPr>
      <w:rFonts w:ascii="Times New Roman" w:hAnsi="Times New Roman" w:cs="Times New Roman"/>
      <w:sz w:val="24"/>
      <w:szCs w:val="24"/>
    </w:rPr>
  </w:style>
  <w:style w:type="table" w:styleId="TableGrid">
    <w:name w:val="Table Grid"/>
    <w:basedOn w:val="TableNormal"/>
    <w:uiPriority w:val="59"/>
    <w:locked/>
    <w:rsid w:val="007F783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2581">
      <w:bodyDiv w:val="1"/>
      <w:marLeft w:val="0"/>
      <w:marRight w:val="0"/>
      <w:marTop w:val="0"/>
      <w:marBottom w:val="0"/>
      <w:divBdr>
        <w:top w:val="none" w:sz="0" w:space="0" w:color="auto"/>
        <w:left w:val="none" w:sz="0" w:space="0" w:color="auto"/>
        <w:bottom w:val="none" w:sz="0" w:space="0" w:color="auto"/>
        <w:right w:val="none" w:sz="0" w:space="0" w:color="auto"/>
      </w:divBdr>
    </w:div>
    <w:div w:id="661667085">
      <w:bodyDiv w:val="1"/>
      <w:marLeft w:val="0"/>
      <w:marRight w:val="0"/>
      <w:marTop w:val="0"/>
      <w:marBottom w:val="0"/>
      <w:divBdr>
        <w:top w:val="none" w:sz="0" w:space="0" w:color="auto"/>
        <w:left w:val="none" w:sz="0" w:space="0" w:color="auto"/>
        <w:bottom w:val="none" w:sz="0" w:space="0" w:color="auto"/>
        <w:right w:val="none" w:sz="0" w:space="0" w:color="auto"/>
      </w:divBdr>
    </w:div>
    <w:div w:id="1088231187">
      <w:marLeft w:val="0"/>
      <w:marRight w:val="0"/>
      <w:marTop w:val="0"/>
      <w:marBottom w:val="0"/>
      <w:divBdr>
        <w:top w:val="none" w:sz="0" w:space="0" w:color="auto"/>
        <w:left w:val="none" w:sz="0" w:space="0" w:color="auto"/>
        <w:bottom w:val="none" w:sz="0" w:space="0" w:color="auto"/>
        <w:right w:val="none" w:sz="0" w:space="0" w:color="auto"/>
      </w:divBdr>
    </w:div>
    <w:div w:id="1088231188">
      <w:marLeft w:val="0"/>
      <w:marRight w:val="0"/>
      <w:marTop w:val="0"/>
      <w:marBottom w:val="0"/>
      <w:divBdr>
        <w:top w:val="none" w:sz="0" w:space="0" w:color="auto"/>
        <w:left w:val="none" w:sz="0" w:space="0" w:color="auto"/>
        <w:bottom w:val="none" w:sz="0" w:space="0" w:color="auto"/>
        <w:right w:val="none" w:sz="0" w:space="0" w:color="auto"/>
      </w:divBdr>
    </w:div>
    <w:div w:id="1088231189">
      <w:marLeft w:val="0"/>
      <w:marRight w:val="0"/>
      <w:marTop w:val="0"/>
      <w:marBottom w:val="0"/>
      <w:divBdr>
        <w:top w:val="none" w:sz="0" w:space="0" w:color="auto"/>
        <w:left w:val="none" w:sz="0" w:space="0" w:color="auto"/>
        <w:bottom w:val="none" w:sz="0" w:space="0" w:color="auto"/>
        <w:right w:val="none" w:sz="0" w:space="0" w:color="auto"/>
      </w:divBdr>
    </w:div>
    <w:div w:id="1088231190">
      <w:marLeft w:val="0"/>
      <w:marRight w:val="0"/>
      <w:marTop w:val="0"/>
      <w:marBottom w:val="0"/>
      <w:divBdr>
        <w:top w:val="none" w:sz="0" w:space="0" w:color="auto"/>
        <w:left w:val="none" w:sz="0" w:space="0" w:color="auto"/>
        <w:bottom w:val="none" w:sz="0" w:space="0" w:color="auto"/>
        <w:right w:val="none" w:sz="0" w:space="0" w:color="auto"/>
      </w:divBdr>
    </w:div>
    <w:div w:id="1088231191">
      <w:marLeft w:val="0"/>
      <w:marRight w:val="0"/>
      <w:marTop w:val="0"/>
      <w:marBottom w:val="0"/>
      <w:divBdr>
        <w:top w:val="none" w:sz="0" w:space="0" w:color="auto"/>
        <w:left w:val="none" w:sz="0" w:space="0" w:color="auto"/>
        <w:bottom w:val="none" w:sz="0" w:space="0" w:color="auto"/>
        <w:right w:val="none" w:sz="0" w:space="0" w:color="auto"/>
      </w:divBdr>
    </w:div>
    <w:div w:id="1088231192">
      <w:marLeft w:val="0"/>
      <w:marRight w:val="0"/>
      <w:marTop w:val="0"/>
      <w:marBottom w:val="0"/>
      <w:divBdr>
        <w:top w:val="none" w:sz="0" w:space="0" w:color="auto"/>
        <w:left w:val="none" w:sz="0" w:space="0" w:color="auto"/>
        <w:bottom w:val="none" w:sz="0" w:space="0" w:color="auto"/>
        <w:right w:val="none" w:sz="0" w:space="0" w:color="auto"/>
      </w:divBdr>
    </w:div>
    <w:div w:id="1088231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88188E89AE74E9A17097BBC5DFD22" ma:contentTypeVersion="" ma:contentTypeDescription="Create a new document." ma:contentTypeScope="" ma:versionID="8d536b5a46558338e3a119a29232d943">
  <xsd:schema xmlns:xsd="http://www.w3.org/2001/XMLSchema" xmlns:xs="http://www.w3.org/2001/XMLSchema" xmlns:p="http://schemas.microsoft.com/office/2006/metadata/properties" xmlns:ns2="DAA15457-9E4A-49B9-ABCD-62B265F29367" xmlns:ns3="0cdb9d7b-3bdb-4b1c-be50-7737cb6ee7a2" targetNamespace="http://schemas.microsoft.com/office/2006/metadata/properties" ma:root="true" ma:fieldsID="2e5d3590253974988c7552f57f1d54b3" ns2:_="" ns3:_="">
    <xsd:import namespace="DAA15457-9E4A-49B9-ABCD-62B265F29367"/>
    <xsd:import namespace="0cdb9d7b-3bdb-4b1c-be50-7737cb6ee7a2"/>
    <xsd:element name="properties">
      <xsd:complexType>
        <xsd:sequence>
          <xsd:element name="documentManagement">
            <xsd:complexType>
              <xsd:all>
                <xsd:element ref="ns2:Status" minOccurs="0"/>
                <xsd:element ref="ns2:For_x0020_Review" minOccurs="0"/>
                <xsd:element ref="ns2:Too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15457-9E4A-49B9-ABCD-62B265F29367" elementFormDefault="qualified">
    <xsd:import namespace="http://schemas.microsoft.com/office/2006/documentManagement/types"/>
    <xsd:import namespace="http://schemas.microsoft.com/office/infopath/2007/PartnerControls"/>
    <xsd:element name="Status" ma:index="8" nillable="true" ma:displayName="Status" ma:list="{E2CD79EB-B003-4BD1-8C3E-A86B5CDD2E28}" ma:internalName="Status" ma:showField="Title">
      <xsd:simpleType>
        <xsd:restriction base="dms:Lookup"/>
      </xsd:simpleType>
    </xsd:element>
    <xsd:element name="For_x0020_Review" ma:index="9" nillable="true" ma:displayName="For Review" ma:format="Dropdown" ma:internalName="For_x0020_Review">
      <xsd:simpleType>
        <xsd:restriction base="dms:Choice">
          <xsd:enumeration value="Yes"/>
          <xsd:enumeration value="No"/>
          <xsd:enumeration value="N/A"/>
        </xsd:restriction>
      </xsd:simpleType>
    </xsd:element>
    <xsd:element name="Tool" ma:index="10"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AA15457-9E4A-49B9-ABCD-62B265F29367">2</Status>
    <Tool xmlns="DAA15457-9E4A-49B9-ABCD-62B265F29367">Visit Checklist</Tool>
    <For_x0020_Review xmlns="DAA15457-9E4A-49B9-ABCD-62B265F29367">Yes</For_x0020_Review>
    <SharedWithUsers xmlns="0cdb9d7b-3bdb-4b1c-be50-7737cb6ee7a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8E27-ED9F-4D2C-A682-1755D5087ABB}">
  <ds:schemaRefs>
    <ds:schemaRef ds:uri="http://schemas.microsoft.com/sharepoint/v3/contenttype/forms"/>
  </ds:schemaRefs>
</ds:datastoreItem>
</file>

<file path=customXml/itemProps2.xml><?xml version="1.0" encoding="utf-8"?>
<ds:datastoreItem xmlns:ds="http://schemas.openxmlformats.org/officeDocument/2006/customXml" ds:itemID="{AA2EC613-6959-4294-8D05-1AE4DAAE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15457-9E4A-49B9-ABCD-62B265F29367"/>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51C49-637F-4D97-8728-0337F06CC4F2}">
  <ds:schemaRefs>
    <ds:schemaRef ds:uri="http://schemas.microsoft.com/office/2006/metadata/properties"/>
    <ds:schemaRef ds:uri="http://schemas.microsoft.com/office/infopath/2007/PartnerControls"/>
    <ds:schemaRef ds:uri="DAA15457-9E4A-49B9-ABCD-62B265F29367"/>
    <ds:schemaRef ds:uri="0cdb9d7b-3bdb-4b1c-be50-7737cb6ee7a2"/>
  </ds:schemaRefs>
</ds:datastoreItem>
</file>

<file path=customXml/itemProps4.xml><?xml version="1.0" encoding="utf-8"?>
<ds:datastoreItem xmlns:ds="http://schemas.openxmlformats.org/officeDocument/2006/customXml" ds:itemID="{FDF764BF-0B8B-47CD-8D9E-44372FAB0494}">
  <ds:schemaRefs>
    <ds:schemaRef ds:uri="http://schemas.openxmlformats.org/officeDocument/2006/bibliography"/>
  </ds:schemaRefs>
</ds:datastoreItem>
</file>

<file path=customXml/itemProps5.xml><?xml version="1.0" encoding="utf-8"?>
<ds:datastoreItem xmlns:ds="http://schemas.openxmlformats.org/officeDocument/2006/customXml" ds:itemID="{958ACC07-BC95-486A-A84A-D184548B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Mayo</dc:creator>
  <cp:lastModifiedBy>Kailazarid Gomez Feliciano</cp:lastModifiedBy>
  <cp:revision>3</cp:revision>
  <cp:lastPrinted>2015-02-26T13:13:00Z</cp:lastPrinted>
  <dcterms:created xsi:type="dcterms:W3CDTF">2015-04-17T17:48:00Z</dcterms:created>
  <dcterms:modified xsi:type="dcterms:W3CDTF">2015-04-17T17:48:00Z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0x01010056188188E89AE74E9A17097BBC5DFD22</vt:lpwstr>
  </property>
  <property fmtid="{D5CDD505-2E9C-101B-9397-08002B2CF9AE}" pid="3" name="_NewReviewCycle">
    <vt:lpwstr/>
  </property>
  <property fmtid="{D5CDD505-2E9C-101B-9397-08002B2CF9AE}" pid="4" name="_AdHocReviewCycleID">
    <vt:i4>1286433431</vt:i4>
  </property>
  <property fmtid="{D5CDD505-2E9C-101B-9397-08002B2CF9AE}" pid="5" name="_EmailSubject">
    <vt:lpwstr>MTN-028 Visit Checklist for Posting (2 of 2)</vt:lpwstr>
  </property>
  <property fmtid="{D5CDD505-2E9C-101B-9397-08002B2CF9AE}" pid="6" name="_AuthorEmail">
    <vt:lpwstr>KGomez@fhi360.org</vt:lpwstr>
  </property>
  <property fmtid="{D5CDD505-2E9C-101B-9397-08002B2CF9AE}" pid="7" name="_AuthorEmailDisplayName">
    <vt:lpwstr>Kailazarid Gomez Feliciano</vt:lpwstr>
  </property>
</Properties>
</file>